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54735B" w:rsidP="00F067C8">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1217A01B" w14:textId="40B1FF5C" w:rsidR="007D1E76" w:rsidRPr="00E74967" w:rsidRDefault="00F067C8" w:rsidP="00F067C8">
      <w:pPr>
        <w:tabs>
          <w:tab w:val="left" w:leader="underscore" w:pos="9639"/>
        </w:tabs>
        <w:spacing w:after="0" w:line="240" w:lineRule="auto"/>
        <w:jc w:val="center"/>
        <w:rPr>
          <w:rFonts w:cs="Calibri"/>
        </w:rPr>
      </w:pPr>
      <w:r>
        <w:rPr>
          <w:rFonts w:cs="Calibri"/>
        </w:rPr>
        <w:t>06-12-2022</w:t>
      </w:r>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7AD61893"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r w:rsidR="00C93C67" w:rsidRPr="00C93C67">
        <w:rPr>
          <w:rFonts w:cs="Calibri"/>
          <w:color w:val="2F5496" w:themeColor="accent5" w:themeShade="BF"/>
        </w:rPr>
        <w:t>DOF 06-12-2022</w:t>
      </w:r>
      <w:r w:rsidR="00C93C67">
        <w:rPr>
          <w:rFonts w:cs="Calibri"/>
        </w:rPr>
        <w:t>)</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w:t>
          </w:r>
          <w:bookmarkStart w:id="0" w:name="_GoBack"/>
          <w:bookmarkEnd w:id="0"/>
          <w:r>
            <w:rPr>
              <w:lang w:val="es-ES"/>
            </w:rPr>
            <w:t>do</w:t>
          </w:r>
        </w:p>
        <w:p w14:paraId="6FC310E2" w14:textId="77777777" w:rsidR="00516100" w:rsidRPr="00516100" w:rsidRDefault="00516100" w:rsidP="00516100">
          <w:pPr>
            <w:rPr>
              <w:lang w:val="es-ES" w:eastAsia="es-MX"/>
            </w:rPr>
          </w:pPr>
        </w:p>
        <w:p w14:paraId="1A37D15B" w14:textId="1963D4D8" w:rsidR="005F51CC" w:rsidRDefault="00F46719">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r>
            <w:fldChar w:fldCharType="begin"/>
          </w:r>
          <w:r>
            <w:instrText xml:space="preserve"> TOC \o "1-3" \h \z \u </w:instrText>
          </w:r>
          <w:r>
            <w:fldChar w:fldCharType="separate"/>
          </w:r>
          <w:hyperlink w:anchor="_Toc161472866" w:history="1">
            <w:r w:rsidR="005F51CC" w:rsidRPr="005C0188">
              <w:rPr>
                <w:rStyle w:val="Hipervnculo"/>
                <w:rFonts w:cstheme="minorHAnsi"/>
                <w:b/>
                <w:noProof/>
              </w:rPr>
              <w:t>1. Autorización e Historia:</w:t>
            </w:r>
            <w:r w:rsidR="005F51CC">
              <w:rPr>
                <w:noProof/>
                <w:webHidden/>
              </w:rPr>
              <w:tab/>
            </w:r>
            <w:r w:rsidR="005F51CC">
              <w:rPr>
                <w:noProof/>
                <w:webHidden/>
              </w:rPr>
              <w:fldChar w:fldCharType="begin"/>
            </w:r>
            <w:r w:rsidR="005F51CC">
              <w:rPr>
                <w:noProof/>
                <w:webHidden/>
              </w:rPr>
              <w:instrText xml:space="preserve"> PAGEREF _Toc161472866 \h </w:instrText>
            </w:r>
            <w:r w:rsidR="005F51CC">
              <w:rPr>
                <w:noProof/>
                <w:webHidden/>
              </w:rPr>
            </w:r>
            <w:r w:rsidR="005F51CC">
              <w:rPr>
                <w:noProof/>
                <w:webHidden/>
              </w:rPr>
              <w:fldChar w:fldCharType="separate"/>
            </w:r>
            <w:r w:rsidR="008E78F8">
              <w:rPr>
                <w:noProof/>
                <w:webHidden/>
              </w:rPr>
              <w:t>2</w:t>
            </w:r>
            <w:r w:rsidR="005F51CC">
              <w:rPr>
                <w:noProof/>
                <w:webHidden/>
              </w:rPr>
              <w:fldChar w:fldCharType="end"/>
            </w:r>
          </w:hyperlink>
        </w:p>
        <w:p w14:paraId="6A6756CA" w14:textId="7B65E64A"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7" w:history="1">
            <w:r w:rsidR="005F51CC" w:rsidRPr="005C0188">
              <w:rPr>
                <w:rStyle w:val="Hipervnculo"/>
                <w:rFonts w:cstheme="minorHAnsi"/>
                <w:b/>
                <w:noProof/>
              </w:rPr>
              <w:t>2. Panorama Económico y Financiero</w:t>
            </w:r>
            <w:r w:rsidR="005F51CC">
              <w:rPr>
                <w:noProof/>
                <w:webHidden/>
              </w:rPr>
              <w:tab/>
            </w:r>
            <w:r w:rsidR="005F51CC">
              <w:rPr>
                <w:noProof/>
                <w:webHidden/>
              </w:rPr>
              <w:fldChar w:fldCharType="begin"/>
            </w:r>
            <w:r w:rsidR="005F51CC">
              <w:rPr>
                <w:noProof/>
                <w:webHidden/>
              </w:rPr>
              <w:instrText xml:space="preserve"> PAGEREF _Toc161472867 \h </w:instrText>
            </w:r>
            <w:r w:rsidR="005F51CC">
              <w:rPr>
                <w:noProof/>
                <w:webHidden/>
              </w:rPr>
            </w:r>
            <w:r w:rsidR="005F51CC">
              <w:rPr>
                <w:noProof/>
                <w:webHidden/>
              </w:rPr>
              <w:fldChar w:fldCharType="separate"/>
            </w:r>
            <w:r w:rsidR="008E78F8">
              <w:rPr>
                <w:noProof/>
                <w:webHidden/>
              </w:rPr>
              <w:t>3</w:t>
            </w:r>
            <w:r w:rsidR="005F51CC">
              <w:rPr>
                <w:noProof/>
                <w:webHidden/>
              </w:rPr>
              <w:fldChar w:fldCharType="end"/>
            </w:r>
          </w:hyperlink>
        </w:p>
        <w:p w14:paraId="19796F35" w14:textId="3AE532F3"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8" w:history="1">
            <w:r w:rsidR="005F51CC" w:rsidRPr="005C0188">
              <w:rPr>
                <w:rStyle w:val="Hipervnculo"/>
                <w:rFonts w:cstheme="minorHAnsi"/>
                <w:b/>
                <w:noProof/>
              </w:rPr>
              <w:t>3. Organización y Objeto Social:</w:t>
            </w:r>
            <w:r w:rsidR="005F51CC">
              <w:rPr>
                <w:noProof/>
                <w:webHidden/>
              </w:rPr>
              <w:tab/>
            </w:r>
            <w:r w:rsidR="005F51CC">
              <w:rPr>
                <w:noProof/>
                <w:webHidden/>
              </w:rPr>
              <w:fldChar w:fldCharType="begin"/>
            </w:r>
            <w:r w:rsidR="005F51CC">
              <w:rPr>
                <w:noProof/>
                <w:webHidden/>
              </w:rPr>
              <w:instrText xml:space="preserve"> PAGEREF _Toc161472868 \h </w:instrText>
            </w:r>
            <w:r w:rsidR="005F51CC">
              <w:rPr>
                <w:noProof/>
                <w:webHidden/>
              </w:rPr>
            </w:r>
            <w:r w:rsidR="005F51CC">
              <w:rPr>
                <w:noProof/>
                <w:webHidden/>
              </w:rPr>
              <w:fldChar w:fldCharType="separate"/>
            </w:r>
            <w:r w:rsidR="008E78F8">
              <w:rPr>
                <w:noProof/>
                <w:webHidden/>
              </w:rPr>
              <w:t>3</w:t>
            </w:r>
            <w:r w:rsidR="005F51CC">
              <w:rPr>
                <w:noProof/>
                <w:webHidden/>
              </w:rPr>
              <w:fldChar w:fldCharType="end"/>
            </w:r>
          </w:hyperlink>
        </w:p>
        <w:p w14:paraId="62AC0657" w14:textId="0F5A5626"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69" w:history="1">
            <w:r w:rsidR="005F51CC" w:rsidRPr="005C0188">
              <w:rPr>
                <w:rStyle w:val="Hipervnculo"/>
                <w:rFonts w:cstheme="minorHAnsi"/>
                <w:b/>
                <w:noProof/>
              </w:rPr>
              <w:t>4. Bases de Preparación de los Estados Financieros:</w:t>
            </w:r>
            <w:r w:rsidR="005F51CC">
              <w:rPr>
                <w:noProof/>
                <w:webHidden/>
              </w:rPr>
              <w:tab/>
            </w:r>
            <w:r w:rsidR="005F51CC">
              <w:rPr>
                <w:noProof/>
                <w:webHidden/>
              </w:rPr>
              <w:fldChar w:fldCharType="begin"/>
            </w:r>
            <w:r w:rsidR="005F51CC">
              <w:rPr>
                <w:noProof/>
                <w:webHidden/>
              </w:rPr>
              <w:instrText xml:space="preserve"> PAGEREF _Toc161472869 \h </w:instrText>
            </w:r>
            <w:r w:rsidR="005F51CC">
              <w:rPr>
                <w:noProof/>
                <w:webHidden/>
              </w:rPr>
            </w:r>
            <w:r w:rsidR="005F51CC">
              <w:rPr>
                <w:noProof/>
                <w:webHidden/>
              </w:rPr>
              <w:fldChar w:fldCharType="separate"/>
            </w:r>
            <w:r w:rsidR="008E78F8">
              <w:rPr>
                <w:noProof/>
                <w:webHidden/>
              </w:rPr>
              <w:t>4</w:t>
            </w:r>
            <w:r w:rsidR="005F51CC">
              <w:rPr>
                <w:noProof/>
                <w:webHidden/>
              </w:rPr>
              <w:fldChar w:fldCharType="end"/>
            </w:r>
          </w:hyperlink>
        </w:p>
        <w:p w14:paraId="7C7C1962" w14:textId="172C9BF1"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0" w:history="1">
            <w:r w:rsidR="005F51CC" w:rsidRPr="005C0188">
              <w:rPr>
                <w:rStyle w:val="Hipervnculo"/>
                <w:rFonts w:cstheme="minorHAnsi"/>
                <w:b/>
                <w:noProof/>
              </w:rPr>
              <w:t>5. Políticas de Contabilidad Significativas:</w:t>
            </w:r>
            <w:r w:rsidR="005F51CC">
              <w:rPr>
                <w:noProof/>
                <w:webHidden/>
              </w:rPr>
              <w:tab/>
            </w:r>
            <w:r w:rsidR="005F51CC">
              <w:rPr>
                <w:noProof/>
                <w:webHidden/>
              </w:rPr>
              <w:fldChar w:fldCharType="begin"/>
            </w:r>
            <w:r w:rsidR="005F51CC">
              <w:rPr>
                <w:noProof/>
                <w:webHidden/>
              </w:rPr>
              <w:instrText xml:space="preserve"> PAGEREF _Toc161472870 \h </w:instrText>
            </w:r>
            <w:r w:rsidR="005F51CC">
              <w:rPr>
                <w:noProof/>
                <w:webHidden/>
              </w:rPr>
            </w:r>
            <w:r w:rsidR="005F51CC">
              <w:rPr>
                <w:noProof/>
                <w:webHidden/>
              </w:rPr>
              <w:fldChar w:fldCharType="separate"/>
            </w:r>
            <w:r w:rsidR="008E78F8">
              <w:rPr>
                <w:noProof/>
                <w:webHidden/>
              </w:rPr>
              <w:t>6</w:t>
            </w:r>
            <w:r w:rsidR="005F51CC">
              <w:rPr>
                <w:noProof/>
                <w:webHidden/>
              </w:rPr>
              <w:fldChar w:fldCharType="end"/>
            </w:r>
          </w:hyperlink>
        </w:p>
        <w:p w14:paraId="3FE6C661" w14:textId="001F1FE6"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1" w:history="1">
            <w:r w:rsidR="005F51CC" w:rsidRPr="005C0188">
              <w:rPr>
                <w:rStyle w:val="Hipervnculo"/>
                <w:rFonts w:cstheme="minorHAnsi"/>
                <w:b/>
                <w:noProof/>
              </w:rPr>
              <w:t>6. Posición en Moneda Extranjera y Protección por Riesgo Cambiario:</w:t>
            </w:r>
            <w:r w:rsidR="005F51CC">
              <w:rPr>
                <w:noProof/>
                <w:webHidden/>
              </w:rPr>
              <w:tab/>
            </w:r>
            <w:r w:rsidR="005F51CC">
              <w:rPr>
                <w:noProof/>
                <w:webHidden/>
              </w:rPr>
              <w:fldChar w:fldCharType="begin"/>
            </w:r>
            <w:r w:rsidR="005F51CC">
              <w:rPr>
                <w:noProof/>
                <w:webHidden/>
              </w:rPr>
              <w:instrText xml:space="preserve"> PAGEREF _Toc161472871 \h </w:instrText>
            </w:r>
            <w:r w:rsidR="005F51CC">
              <w:rPr>
                <w:noProof/>
                <w:webHidden/>
              </w:rPr>
            </w:r>
            <w:r w:rsidR="005F51CC">
              <w:rPr>
                <w:noProof/>
                <w:webHidden/>
              </w:rPr>
              <w:fldChar w:fldCharType="separate"/>
            </w:r>
            <w:r w:rsidR="008E78F8">
              <w:rPr>
                <w:noProof/>
                <w:webHidden/>
              </w:rPr>
              <w:t>7</w:t>
            </w:r>
            <w:r w:rsidR="005F51CC">
              <w:rPr>
                <w:noProof/>
                <w:webHidden/>
              </w:rPr>
              <w:fldChar w:fldCharType="end"/>
            </w:r>
          </w:hyperlink>
        </w:p>
        <w:p w14:paraId="135541CC" w14:textId="311B411B"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2" w:history="1">
            <w:r w:rsidR="005F51CC" w:rsidRPr="005C0188">
              <w:rPr>
                <w:rStyle w:val="Hipervnculo"/>
                <w:rFonts w:cstheme="minorHAnsi"/>
                <w:b/>
                <w:noProof/>
              </w:rPr>
              <w:t>7. Reporte Analítico del Activo:</w:t>
            </w:r>
            <w:r w:rsidR="005F51CC">
              <w:rPr>
                <w:noProof/>
                <w:webHidden/>
              </w:rPr>
              <w:tab/>
            </w:r>
            <w:r w:rsidR="005F51CC">
              <w:rPr>
                <w:noProof/>
                <w:webHidden/>
              </w:rPr>
              <w:fldChar w:fldCharType="begin"/>
            </w:r>
            <w:r w:rsidR="005F51CC">
              <w:rPr>
                <w:noProof/>
                <w:webHidden/>
              </w:rPr>
              <w:instrText xml:space="preserve"> PAGEREF _Toc161472872 \h </w:instrText>
            </w:r>
            <w:r w:rsidR="005F51CC">
              <w:rPr>
                <w:noProof/>
                <w:webHidden/>
              </w:rPr>
            </w:r>
            <w:r w:rsidR="005F51CC">
              <w:rPr>
                <w:noProof/>
                <w:webHidden/>
              </w:rPr>
              <w:fldChar w:fldCharType="separate"/>
            </w:r>
            <w:r w:rsidR="008E78F8">
              <w:rPr>
                <w:noProof/>
                <w:webHidden/>
              </w:rPr>
              <w:t>7</w:t>
            </w:r>
            <w:r w:rsidR="005F51CC">
              <w:rPr>
                <w:noProof/>
                <w:webHidden/>
              </w:rPr>
              <w:fldChar w:fldCharType="end"/>
            </w:r>
          </w:hyperlink>
        </w:p>
        <w:p w14:paraId="48C9D852" w14:textId="1A1240E0"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3" w:history="1">
            <w:r w:rsidR="005F51CC" w:rsidRPr="005C0188">
              <w:rPr>
                <w:rStyle w:val="Hipervnculo"/>
                <w:rFonts w:cstheme="minorHAnsi"/>
                <w:b/>
                <w:noProof/>
              </w:rPr>
              <w:t>8. Fideicomisos, Mandatos y Análogos:</w:t>
            </w:r>
            <w:r w:rsidR="005F51CC">
              <w:rPr>
                <w:noProof/>
                <w:webHidden/>
              </w:rPr>
              <w:tab/>
            </w:r>
            <w:r w:rsidR="005F51CC">
              <w:rPr>
                <w:noProof/>
                <w:webHidden/>
              </w:rPr>
              <w:fldChar w:fldCharType="begin"/>
            </w:r>
            <w:r w:rsidR="005F51CC">
              <w:rPr>
                <w:noProof/>
                <w:webHidden/>
              </w:rPr>
              <w:instrText xml:space="preserve"> PAGEREF _Toc161472873 \h </w:instrText>
            </w:r>
            <w:r w:rsidR="005F51CC">
              <w:rPr>
                <w:noProof/>
                <w:webHidden/>
              </w:rPr>
            </w:r>
            <w:r w:rsidR="005F51CC">
              <w:rPr>
                <w:noProof/>
                <w:webHidden/>
              </w:rPr>
              <w:fldChar w:fldCharType="separate"/>
            </w:r>
            <w:r w:rsidR="008E78F8">
              <w:rPr>
                <w:noProof/>
                <w:webHidden/>
              </w:rPr>
              <w:t>8</w:t>
            </w:r>
            <w:r w:rsidR="005F51CC">
              <w:rPr>
                <w:noProof/>
                <w:webHidden/>
              </w:rPr>
              <w:fldChar w:fldCharType="end"/>
            </w:r>
          </w:hyperlink>
        </w:p>
        <w:p w14:paraId="027C97E3" w14:textId="0A3B35C9"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4" w:history="1">
            <w:r w:rsidR="005F51CC" w:rsidRPr="005C0188">
              <w:rPr>
                <w:rStyle w:val="Hipervnculo"/>
                <w:rFonts w:cstheme="minorHAnsi"/>
                <w:b/>
                <w:noProof/>
              </w:rPr>
              <w:t>9. Reporte de la Recaudación:</w:t>
            </w:r>
            <w:r w:rsidR="005F51CC">
              <w:rPr>
                <w:noProof/>
                <w:webHidden/>
              </w:rPr>
              <w:tab/>
            </w:r>
            <w:r w:rsidR="005F51CC">
              <w:rPr>
                <w:noProof/>
                <w:webHidden/>
              </w:rPr>
              <w:fldChar w:fldCharType="begin"/>
            </w:r>
            <w:r w:rsidR="005F51CC">
              <w:rPr>
                <w:noProof/>
                <w:webHidden/>
              </w:rPr>
              <w:instrText xml:space="preserve"> PAGEREF _Toc161472874 \h </w:instrText>
            </w:r>
            <w:r w:rsidR="005F51CC">
              <w:rPr>
                <w:noProof/>
                <w:webHidden/>
              </w:rPr>
            </w:r>
            <w:r w:rsidR="005F51CC">
              <w:rPr>
                <w:noProof/>
                <w:webHidden/>
              </w:rPr>
              <w:fldChar w:fldCharType="separate"/>
            </w:r>
            <w:r w:rsidR="008E78F8">
              <w:rPr>
                <w:noProof/>
                <w:webHidden/>
              </w:rPr>
              <w:t>8</w:t>
            </w:r>
            <w:r w:rsidR="005F51CC">
              <w:rPr>
                <w:noProof/>
                <w:webHidden/>
              </w:rPr>
              <w:fldChar w:fldCharType="end"/>
            </w:r>
          </w:hyperlink>
        </w:p>
        <w:p w14:paraId="00DB87A1" w14:textId="1EDF3C28"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5" w:history="1">
            <w:r w:rsidR="005F51CC" w:rsidRPr="005C0188">
              <w:rPr>
                <w:rStyle w:val="Hipervnculo"/>
                <w:rFonts w:cstheme="minorHAnsi"/>
                <w:b/>
                <w:noProof/>
              </w:rPr>
              <w:t>10. Información sobre la Deuda y el Reporte Analítico de la Deuda:</w:t>
            </w:r>
            <w:r w:rsidR="005F51CC">
              <w:rPr>
                <w:noProof/>
                <w:webHidden/>
              </w:rPr>
              <w:tab/>
            </w:r>
            <w:r w:rsidR="005F51CC">
              <w:rPr>
                <w:noProof/>
                <w:webHidden/>
              </w:rPr>
              <w:fldChar w:fldCharType="begin"/>
            </w:r>
            <w:r w:rsidR="005F51CC">
              <w:rPr>
                <w:noProof/>
                <w:webHidden/>
              </w:rPr>
              <w:instrText xml:space="preserve"> PAGEREF _Toc161472875 \h </w:instrText>
            </w:r>
            <w:r w:rsidR="005F51CC">
              <w:rPr>
                <w:noProof/>
                <w:webHidden/>
              </w:rPr>
            </w:r>
            <w:r w:rsidR="005F51CC">
              <w:rPr>
                <w:noProof/>
                <w:webHidden/>
              </w:rPr>
              <w:fldChar w:fldCharType="separate"/>
            </w:r>
            <w:r w:rsidR="008E78F8">
              <w:rPr>
                <w:noProof/>
                <w:webHidden/>
              </w:rPr>
              <w:t>9</w:t>
            </w:r>
            <w:r w:rsidR="005F51CC">
              <w:rPr>
                <w:noProof/>
                <w:webHidden/>
              </w:rPr>
              <w:fldChar w:fldCharType="end"/>
            </w:r>
          </w:hyperlink>
        </w:p>
        <w:p w14:paraId="00EEECC2" w14:textId="08881C62"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6" w:history="1">
            <w:r w:rsidR="005F51CC" w:rsidRPr="005C0188">
              <w:rPr>
                <w:rStyle w:val="Hipervnculo"/>
                <w:rFonts w:cstheme="minorHAnsi"/>
                <w:b/>
                <w:noProof/>
              </w:rPr>
              <w:t>11. Calificaciones otorgadas:</w:t>
            </w:r>
            <w:r w:rsidR="005F51CC">
              <w:rPr>
                <w:noProof/>
                <w:webHidden/>
              </w:rPr>
              <w:tab/>
            </w:r>
            <w:r w:rsidR="005F51CC">
              <w:rPr>
                <w:noProof/>
                <w:webHidden/>
              </w:rPr>
              <w:fldChar w:fldCharType="begin"/>
            </w:r>
            <w:r w:rsidR="005F51CC">
              <w:rPr>
                <w:noProof/>
                <w:webHidden/>
              </w:rPr>
              <w:instrText xml:space="preserve"> PAGEREF _Toc161472876 \h </w:instrText>
            </w:r>
            <w:r w:rsidR="005F51CC">
              <w:rPr>
                <w:noProof/>
                <w:webHidden/>
              </w:rPr>
            </w:r>
            <w:r w:rsidR="005F51CC">
              <w:rPr>
                <w:noProof/>
                <w:webHidden/>
              </w:rPr>
              <w:fldChar w:fldCharType="separate"/>
            </w:r>
            <w:r w:rsidR="008E78F8">
              <w:rPr>
                <w:noProof/>
                <w:webHidden/>
              </w:rPr>
              <w:t>9</w:t>
            </w:r>
            <w:r w:rsidR="005F51CC">
              <w:rPr>
                <w:noProof/>
                <w:webHidden/>
              </w:rPr>
              <w:fldChar w:fldCharType="end"/>
            </w:r>
          </w:hyperlink>
        </w:p>
        <w:p w14:paraId="68FD7A9A" w14:textId="1A21AE37"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7" w:history="1">
            <w:r w:rsidR="005F51CC" w:rsidRPr="005C0188">
              <w:rPr>
                <w:rStyle w:val="Hipervnculo"/>
                <w:rFonts w:cstheme="minorHAnsi"/>
                <w:b/>
                <w:noProof/>
              </w:rPr>
              <w:t>12. Proceso de Mejora:</w:t>
            </w:r>
            <w:r w:rsidR="005F51CC">
              <w:rPr>
                <w:noProof/>
                <w:webHidden/>
              </w:rPr>
              <w:tab/>
            </w:r>
            <w:r w:rsidR="005F51CC">
              <w:rPr>
                <w:noProof/>
                <w:webHidden/>
              </w:rPr>
              <w:fldChar w:fldCharType="begin"/>
            </w:r>
            <w:r w:rsidR="005F51CC">
              <w:rPr>
                <w:noProof/>
                <w:webHidden/>
              </w:rPr>
              <w:instrText xml:space="preserve"> PAGEREF _Toc161472877 \h </w:instrText>
            </w:r>
            <w:r w:rsidR="005F51CC">
              <w:rPr>
                <w:noProof/>
                <w:webHidden/>
              </w:rPr>
            </w:r>
            <w:r w:rsidR="005F51CC">
              <w:rPr>
                <w:noProof/>
                <w:webHidden/>
              </w:rPr>
              <w:fldChar w:fldCharType="separate"/>
            </w:r>
            <w:r w:rsidR="008E78F8">
              <w:rPr>
                <w:noProof/>
                <w:webHidden/>
              </w:rPr>
              <w:t>9</w:t>
            </w:r>
            <w:r w:rsidR="005F51CC">
              <w:rPr>
                <w:noProof/>
                <w:webHidden/>
              </w:rPr>
              <w:fldChar w:fldCharType="end"/>
            </w:r>
          </w:hyperlink>
        </w:p>
        <w:p w14:paraId="5F55527F" w14:textId="4111490E"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8" w:history="1">
            <w:r w:rsidR="005F51CC" w:rsidRPr="005C0188">
              <w:rPr>
                <w:rStyle w:val="Hipervnculo"/>
                <w:rFonts w:cstheme="minorHAnsi"/>
                <w:b/>
                <w:noProof/>
              </w:rPr>
              <w:t>13. Información por Segmentos:</w:t>
            </w:r>
            <w:r w:rsidR="005F51CC">
              <w:rPr>
                <w:noProof/>
                <w:webHidden/>
              </w:rPr>
              <w:tab/>
            </w:r>
            <w:r w:rsidR="005F51CC">
              <w:rPr>
                <w:noProof/>
                <w:webHidden/>
              </w:rPr>
              <w:fldChar w:fldCharType="begin"/>
            </w:r>
            <w:r w:rsidR="005F51CC">
              <w:rPr>
                <w:noProof/>
                <w:webHidden/>
              </w:rPr>
              <w:instrText xml:space="preserve"> PAGEREF _Toc161472878 \h </w:instrText>
            </w:r>
            <w:r w:rsidR="005F51CC">
              <w:rPr>
                <w:noProof/>
                <w:webHidden/>
              </w:rPr>
            </w:r>
            <w:r w:rsidR="005F51CC">
              <w:rPr>
                <w:noProof/>
                <w:webHidden/>
              </w:rPr>
              <w:fldChar w:fldCharType="separate"/>
            </w:r>
            <w:r w:rsidR="008E78F8">
              <w:rPr>
                <w:noProof/>
                <w:webHidden/>
              </w:rPr>
              <w:t>9</w:t>
            </w:r>
            <w:r w:rsidR="005F51CC">
              <w:rPr>
                <w:noProof/>
                <w:webHidden/>
              </w:rPr>
              <w:fldChar w:fldCharType="end"/>
            </w:r>
          </w:hyperlink>
        </w:p>
        <w:p w14:paraId="674ABB69" w14:textId="793802CD"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79" w:history="1">
            <w:r w:rsidR="005F51CC" w:rsidRPr="005C0188">
              <w:rPr>
                <w:rStyle w:val="Hipervnculo"/>
                <w:rFonts w:cstheme="minorHAnsi"/>
                <w:b/>
                <w:noProof/>
              </w:rPr>
              <w:t>14. Eventos Posteriores al Cierre:</w:t>
            </w:r>
            <w:r w:rsidR="005F51CC">
              <w:rPr>
                <w:noProof/>
                <w:webHidden/>
              </w:rPr>
              <w:tab/>
            </w:r>
            <w:r w:rsidR="005F51CC">
              <w:rPr>
                <w:noProof/>
                <w:webHidden/>
              </w:rPr>
              <w:fldChar w:fldCharType="begin"/>
            </w:r>
            <w:r w:rsidR="005F51CC">
              <w:rPr>
                <w:noProof/>
                <w:webHidden/>
              </w:rPr>
              <w:instrText xml:space="preserve"> PAGEREF _Toc161472879 \h </w:instrText>
            </w:r>
            <w:r w:rsidR="005F51CC">
              <w:rPr>
                <w:noProof/>
                <w:webHidden/>
              </w:rPr>
            </w:r>
            <w:r w:rsidR="005F51CC">
              <w:rPr>
                <w:noProof/>
                <w:webHidden/>
              </w:rPr>
              <w:fldChar w:fldCharType="separate"/>
            </w:r>
            <w:r w:rsidR="008E78F8">
              <w:rPr>
                <w:noProof/>
                <w:webHidden/>
              </w:rPr>
              <w:t>10</w:t>
            </w:r>
            <w:r w:rsidR="005F51CC">
              <w:rPr>
                <w:noProof/>
                <w:webHidden/>
              </w:rPr>
              <w:fldChar w:fldCharType="end"/>
            </w:r>
          </w:hyperlink>
        </w:p>
        <w:p w14:paraId="39048CDA" w14:textId="78459133"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0" w:history="1">
            <w:r w:rsidR="005F51CC" w:rsidRPr="005C0188">
              <w:rPr>
                <w:rStyle w:val="Hipervnculo"/>
                <w:rFonts w:cstheme="minorHAnsi"/>
                <w:b/>
                <w:noProof/>
              </w:rPr>
              <w:t>15. Partes Relacionadas:</w:t>
            </w:r>
            <w:r w:rsidR="005F51CC">
              <w:rPr>
                <w:noProof/>
                <w:webHidden/>
              </w:rPr>
              <w:tab/>
            </w:r>
            <w:r w:rsidR="005F51CC">
              <w:rPr>
                <w:noProof/>
                <w:webHidden/>
              </w:rPr>
              <w:fldChar w:fldCharType="begin"/>
            </w:r>
            <w:r w:rsidR="005F51CC">
              <w:rPr>
                <w:noProof/>
                <w:webHidden/>
              </w:rPr>
              <w:instrText xml:space="preserve"> PAGEREF _Toc161472880 \h </w:instrText>
            </w:r>
            <w:r w:rsidR="005F51CC">
              <w:rPr>
                <w:noProof/>
                <w:webHidden/>
              </w:rPr>
            </w:r>
            <w:r w:rsidR="005F51CC">
              <w:rPr>
                <w:noProof/>
                <w:webHidden/>
              </w:rPr>
              <w:fldChar w:fldCharType="separate"/>
            </w:r>
            <w:r w:rsidR="008E78F8">
              <w:rPr>
                <w:noProof/>
                <w:webHidden/>
              </w:rPr>
              <w:t>10</w:t>
            </w:r>
            <w:r w:rsidR="005F51CC">
              <w:rPr>
                <w:noProof/>
                <w:webHidden/>
              </w:rPr>
              <w:fldChar w:fldCharType="end"/>
            </w:r>
          </w:hyperlink>
        </w:p>
        <w:p w14:paraId="7E9C5BA3" w14:textId="7B1C8B25" w:rsidR="005F51CC" w:rsidRDefault="0054735B">
          <w:pPr>
            <w:pStyle w:val="TDC2"/>
            <w:tabs>
              <w:tab w:val="right" w:leader="dot" w:pos="9678"/>
            </w:tabs>
            <w:rPr>
              <w:rFonts w:asciiTheme="minorHAnsi" w:eastAsiaTheme="minorEastAsia" w:hAnsiTheme="minorHAnsi" w:cstheme="minorBidi"/>
              <w:noProof/>
              <w:kern w:val="2"/>
              <w:sz w:val="24"/>
              <w:szCs w:val="24"/>
              <w:lang w:eastAsia="es-MX"/>
              <w14:ligatures w14:val="standardContextual"/>
            </w:rPr>
          </w:pPr>
          <w:hyperlink w:anchor="_Toc161472881" w:history="1">
            <w:r w:rsidR="005F51CC" w:rsidRPr="005C0188">
              <w:rPr>
                <w:rStyle w:val="Hipervnculo"/>
                <w:rFonts w:cstheme="minorHAnsi"/>
                <w:b/>
                <w:noProof/>
              </w:rPr>
              <w:t>16. Responsabilidad Sobre la Presentación Razonable de la Información Contable:</w:t>
            </w:r>
            <w:r w:rsidR="005F51CC">
              <w:rPr>
                <w:noProof/>
                <w:webHidden/>
              </w:rPr>
              <w:tab/>
            </w:r>
            <w:r w:rsidR="005F51CC">
              <w:rPr>
                <w:noProof/>
                <w:webHidden/>
              </w:rPr>
              <w:fldChar w:fldCharType="begin"/>
            </w:r>
            <w:r w:rsidR="005F51CC">
              <w:rPr>
                <w:noProof/>
                <w:webHidden/>
              </w:rPr>
              <w:instrText xml:space="preserve"> PAGEREF _Toc161472881 \h </w:instrText>
            </w:r>
            <w:r w:rsidR="005F51CC">
              <w:rPr>
                <w:noProof/>
                <w:webHidden/>
              </w:rPr>
            </w:r>
            <w:r w:rsidR="005F51CC">
              <w:rPr>
                <w:noProof/>
                <w:webHidden/>
              </w:rPr>
              <w:fldChar w:fldCharType="separate"/>
            </w:r>
            <w:r w:rsidR="008E78F8">
              <w:rPr>
                <w:noProof/>
                <w:webHidden/>
              </w:rPr>
              <w:t>10</w:t>
            </w:r>
            <w:r w:rsidR="005F51CC">
              <w:rPr>
                <w:noProof/>
                <w:webHidden/>
              </w:rPr>
              <w:fldChar w:fldCharType="end"/>
            </w:r>
          </w:hyperlink>
        </w:p>
        <w:p w14:paraId="7203E26E" w14:textId="352D4F43" w:rsidR="007D1E76" w:rsidRPr="000C36B6" w:rsidRDefault="00F46719" w:rsidP="000C36B6">
          <w:r>
            <w:rPr>
              <w:b/>
              <w:bCs/>
              <w:lang w:val="es-ES"/>
            </w:rPr>
            <w:fldChar w:fldCharType="end"/>
          </w:r>
        </w:p>
      </w:sdtContent>
    </w:sdt>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1" w:name="_Toc161472866"/>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1"/>
    </w:p>
    <w:p w14:paraId="360DA23B" w14:textId="77777777" w:rsidR="007D1E76" w:rsidRPr="00E74967" w:rsidRDefault="007D1E76" w:rsidP="00CB41C4">
      <w:pPr>
        <w:tabs>
          <w:tab w:val="left" w:leader="underscore" w:pos="9639"/>
        </w:tabs>
        <w:spacing w:after="0" w:line="240" w:lineRule="auto"/>
        <w:jc w:val="both"/>
        <w:rPr>
          <w:rFonts w:cs="Calibri"/>
        </w:rPr>
      </w:pPr>
    </w:p>
    <w:p w14:paraId="062E74E7" w14:textId="5360C2FA"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837CA26" w14:textId="475D4C1B" w:rsidR="007D1E76" w:rsidRPr="00E74967" w:rsidRDefault="00485B73" w:rsidP="00CB41C4">
      <w:pPr>
        <w:tabs>
          <w:tab w:val="left" w:leader="underscore" w:pos="9639"/>
        </w:tabs>
        <w:spacing w:after="0" w:line="240" w:lineRule="auto"/>
        <w:jc w:val="both"/>
        <w:rPr>
          <w:rFonts w:cs="Calibri"/>
        </w:rPr>
      </w:pPr>
      <w:r w:rsidRPr="00485B73">
        <w:rPr>
          <w:rFonts w:cs="Calibri"/>
        </w:rPr>
        <w:t>El 1 de enero de 1914, la XXIV Legislatura expide el decreto por el que se declara ciudad. En la constitución política para el Estado de Guanajuato se reconoce como municipio en su artículo 33. El municipio se encuentra inscrito en el Registro Federal de Contribuyentes el cual es MYU850115BW0.</w:t>
      </w:r>
    </w:p>
    <w:p w14:paraId="4F52E4E0" w14:textId="77777777" w:rsidR="007D1E76" w:rsidRPr="00E74967" w:rsidRDefault="007D1E76" w:rsidP="00CB41C4">
      <w:pPr>
        <w:tabs>
          <w:tab w:val="left" w:leader="underscore" w:pos="9639"/>
        </w:tabs>
        <w:spacing w:after="0" w:line="240" w:lineRule="auto"/>
        <w:jc w:val="both"/>
        <w:rPr>
          <w:rFonts w:cs="Calibri"/>
        </w:rPr>
      </w:pP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424909AB"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 xml:space="preserve">1997-2000 Sr. Pedro </w:t>
      </w:r>
      <w:proofErr w:type="spellStart"/>
      <w:r w:rsidRPr="00485B73">
        <w:rPr>
          <w:rFonts w:cs="Calibri"/>
        </w:rPr>
        <w:t>Gaviña</w:t>
      </w:r>
      <w:proofErr w:type="spellEnd"/>
      <w:r w:rsidRPr="00485B73">
        <w:rPr>
          <w:rFonts w:cs="Calibri"/>
        </w:rPr>
        <w:t xml:space="preserve"> </w:t>
      </w:r>
      <w:proofErr w:type="spellStart"/>
      <w:r w:rsidRPr="00485B73">
        <w:rPr>
          <w:rFonts w:cs="Calibri"/>
        </w:rPr>
        <w:t>Jimenez</w:t>
      </w:r>
      <w:proofErr w:type="spellEnd"/>
    </w:p>
    <w:p w14:paraId="0704C9AE"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 xml:space="preserve">2000-2002 Cp. Artemio Torres </w:t>
      </w:r>
      <w:proofErr w:type="spellStart"/>
      <w:r w:rsidRPr="00485B73">
        <w:rPr>
          <w:rFonts w:cs="Calibri"/>
        </w:rPr>
        <w:t>Gomez</w:t>
      </w:r>
      <w:proofErr w:type="spellEnd"/>
    </w:p>
    <w:p w14:paraId="5DB9C28B"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2002-2003 Prof. Miguel Salazar López (interino)</w:t>
      </w:r>
    </w:p>
    <w:p w14:paraId="3A694063"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2003-2006 Dr. Guillermo Zavala Alcaraz</w:t>
      </w:r>
    </w:p>
    <w:p w14:paraId="72D7F366"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 xml:space="preserve">2006-2009 C. Luis Gerardo </w:t>
      </w:r>
      <w:proofErr w:type="spellStart"/>
      <w:r w:rsidRPr="00485B73">
        <w:rPr>
          <w:rFonts w:cs="Calibri"/>
        </w:rPr>
        <w:t>Gaviña</w:t>
      </w:r>
      <w:proofErr w:type="spellEnd"/>
      <w:r w:rsidRPr="00485B73">
        <w:rPr>
          <w:rFonts w:cs="Calibri"/>
        </w:rPr>
        <w:t xml:space="preserve"> González</w:t>
      </w:r>
    </w:p>
    <w:p w14:paraId="61A17D4C"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2009-2012 C. Ma. de los Ángeles López Bedolla</w:t>
      </w:r>
    </w:p>
    <w:p w14:paraId="0B50C685"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2012-2015 C. Cesar Calderón González</w:t>
      </w:r>
    </w:p>
    <w:p w14:paraId="34DCA419"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 xml:space="preserve">2015-2018 C. Luis Gerardo </w:t>
      </w:r>
      <w:proofErr w:type="spellStart"/>
      <w:r w:rsidRPr="00485B73">
        <w:rPr>
          <w:rFonts w:cs="Calibri"/>
        </w:rPr>
        <w:t>Gaviña</w:t>
      </w:r>
      <w:proofErr w:type="spellEnd"/>
      <w:r w:rsidRPr="00485B73">
        <w:rPr>
          <w:rFonts w:cs="Calibri"/>
        </w:rPr>
        <w:t xml:space="preserve"> González</w:t>
      </w:r>
    </w:p>
    <w:p w14:paraId="0F902D60"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 xml:space="preserve">2018-2021 C. </w:t>
      </w:r>
      <w:proofErr w:type="spellStart"/>
      <w:r w:rsidRPr="00485B73">
        <w:rPr>
          <w:rFonts w:cs="Calibri"/>
        </w:rPr>
        <w:t>Salomon</w:t>
      </w:r>
      <w:proofErr w:type="spellEnd"/>
      <w:r w:rsidRPr="00485B73">
        <w:rPr>
          <w:rFonts w:cs="Calibri"/>
        </w:rPr>
        <w:t xml:space="preserve"> Carmona Ayala</w:t>
      </w:r>
    </w:p>
    <w:p w14:paraId="29296AA2"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 xml:space="preserve">2021-2024 C. Ma. de Los </w:t>
      </w:r>
      <w:proofErr w:type="spellStart"/>
      <w:r w:rsidRPr="00485B73">
        <w:rPr>
          <w:rFonts w:cs="Calibri"/>
        </w:rPr>
        <w:t>Angeles</w:t>
      </w:r>
      <w:proofErr w:type="spellEnd"/>
      <w:r w:rsidRPr="00485B73">
        <w:rPr>
          <w:rFonts w:cs="Calibri"/>
        </w:rPr>
        <w:t xml:space="preserve"> </w:t>
      </w:r>
      <w:proofErr w:type="spellStart"/>
      <w:r w:rsidRPr="00485B73">
        <w:rPr>
          <w:rFonts w:cs="Calibri"/>
        </w:rPr>
        <w:t>Lopez</w:t>
      </w:r>
      <w:proofErr w:type="spellEnd"/>
      <w:r w:rsidRPr="00485B73">
        <w:rPr>
          <w:rFonts w:cs="Calibri"/>
        </w:rPr>
        <w:t xml:space="preserve"> Bedolla</w:t>
      </w:r>
    </w:p>
    <w:p w14:paraId="34EC8984" w14:textId="77777777" w:rsidR="00485B73" w:rsidRPr="00485B73" w:rsidRDefault="00485B73" w:rsidP="00485B73">
      <w:pPr>
        <w:tabs>
          <w:tab w:val="left" w:leader="underscore" w:pos="9639"/>
        </w:tabs>
        <w:spacing w:after="0" w:line="240" w:lineRule="auto"/>
        <w:jc w:val="both"/>
        <w:rPr>
          <w:rFonts w:cs="Calibri"/>
        </w:rPr>
      </w:pPr>
    </w:p>
    <w:p w14:paraId="71645D6C"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 xml:space="preserve">El Municipio de Yuriria, </w:t>
      </w:r>
      <w:proofErr w:type="spellStart"/>
      <w:r w:rsidRPr="00485B73">
        <w:rPr>
          <w:rFonts w:cs="Calibri"/>
        </w:rPr>
        <w:t>Gto</w:t>
      </w:r>
      <w:proofErr w:type="spellEnd"/>
      <w:r w:rsidRPr="00485B73">
        <w:rPr>
          <w:rFonts w:cs="Calibri"/>
        </w:rPr>
        <w:t>., es un ente público cuyo objetivo primordial es Administrar la Hacienda Pública en General y la prestación de servicios públicos en igualdad de condiciones a todos los habitantes del municipio, en forma permanente, general, uniforme, continua.</w:t>
      </w:r>
    </w:p>
    <w:p w14:paraId="3260FB96" w14:textId="77777777" w:rsidR="00485B73" w:rsidRPr="00485B73" w:rsidRDefault="00485B73" w:rsidP="00485B73">
      <w:pPr>
        <w:tabs>
          <w:tab w:val="left" w:leader="underscore" w:pos="9639"/>
        </w:tabs>
        <w:spacing w:after="0" w:line="240" w:lineRule="auto"/>
        <w:jc w:val="both"/>
        <w:rPr>
          <w:rFonts w:cs="Calibri"/>
        </w:rPr>
      </w:pPr>
    </w:p>
    <w:p w14:paraId="4DA06D01"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El ayuntamiento tiene a su cargo los siguientes servicios públicos:</w:t>
      </w:r>
    </w:p>
    <w:p w14:paraId="1E828C18"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I. Agua potable, drenaje, alcantarillado, tratamiento y disposición de sus aguas residuales;</w:t>
      </w:r>
    </w:p>
    <w:p w14:paraId="11452833"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II. Alumbrado público;</w:t>
      </w:r>
    </w:p>
    <w:p w14:paraId="2523D7D6"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III. Asistencia y salud pública;</w:t>
      </w:r>
    </w:p>
    <w:p w14:paraId="6B1C0621"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IV. Bibliotecas públicas y Casas de la Cultura;</w:t>
      </w:r>
    </w:p>
    <w:p w14:paraId="2D241494"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V. Calles, parques, jardines, áreas ecológicas y recreativas y su equipamiento;</w:t>
      </w:r>
    </w:p>
    <w:p w14:paraId="5C363D84"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VI. Desarrollo urbano y rural;</w:t>
      </w:r>
    </w:p>
    <w:p w14:paraId="27E2E34C"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VII. Educación;</w:t>
      </w:r>
    </w:p>
    <w:p w14:paraId="46369521"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VIII. Estacionamientos públicos;</w:t>
      </w:r>
    </w:p>
    <w:p w14:paraId="3703E782"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IX. Limpia, recolección, traslado, tratamiento, disposición final y aprovechamiento de residuos;</w:t>
      </w:r>
    </w:p>
    <w:p w14:paraId="2BD53BDF"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X. Mercados y centrales de abastos;</w:t>
      </w:r>
    </w:p>
    <w:p w14:paraId="2E66A517"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XI. Panteones;</w:t>
      </w:r>
    </w:p>
    <w:p w14:paraId="32D83D58"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XII. Protección civil;</w:t>
      </w:r>
    </w:p>
    <w:p w14:paraId="2CB63894"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XIII. Rastro;</w:t>
      </w:r>
    </w:p>
    <w:p w14:paraId="65A556E9"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XIV. Seguridad pública, en los términos del artículo 21 de la Constitución Política de los Estados Unidos Mexicanos; y el de policía preventiva;</w:t>
      </w:r>
    </w:p>
    <w:p w14:paraId="13041DFC"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XV. Tránsito y vialidad;</w:t>
      </w:r>
    </w:p>
    <w:p w14:paraId="1FFF1142"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XVI. Transporte urbano y suburbano en ruta fija; y</w:t>
      </w:r>
    </w:p>
    <w:p w14:paraId="45932019" w14:textId="1745DA1C" w:rsidR="007D1E76" w:rsidRPr="00E74967" w:rsidRDefault="00485B73" w:rsidP="00485B73">
      <w:pPr>
        <w:tabs>
          <w:tab w:val="left" w:leader="underscore" w:pos="9639"/>
        </w:tabs>
        <w:spacing w:after="0" w:line="240" w:lineRule="auto"/>
        <w:jc w:val="both"/>
        <w:rPr>
          <w:rFonts w:cs="Calibri"/>
        </w:rPr>
      </w:pPr>
      <w:r w:rsidRPr="00485B73">
        <w:rPr>
          <w:rFonts w:cs="Calibri"/>
        </w:rPr>
        <w:t>XVII. Los demás que señalen las leyes.</w:t>
      </w:r>
    </w:p>
    <w:p w14:paraId="16A215A1" w14:textId="66524219" w:rsidR="00516A8F" w:rsidRPr="00E74967" w:rsidRDefault="00516A8F" w:rsidP="00516A8F">
      <w:pPr>
        <w:tabs>
          <w:tab w:val="left" w:leader="underscore" w:pos="9639"/>
        </w:tabs>
        <w:spacing w:after="0" w:line="240" w:lineRule="auto"/>
        <w:jc w:val="both"/>
        <w:rPr>
          <w:rFonts w:cs="Calibri"/>
        </w:rPr>
      </w:pPr>
    </w:p>
    <w:p w14:paraId="5A494C73" w14:textId="7B672A6D" w:rsidR="00BE02EB" w:rsidRDefault="00BE02EB" w:rsidP="000C3365">
      <w:pPr>
        <w:pStyle w:val="Ttulo2"/>
        <w:rPr>
          <w:rFonts w:asciiTheme="minorHAnsi" w:hAnsiTheme="minorHAnsi" w:cstheme="minorHAnsi"/>
          <w:b/>
          <w:color w:val="auto"/>
          <w:sz w:val="22"/>
        </w:rPr>
      </w:pPr>
      <w:bookmarkStart w:id="2" w:name="_Toc161472867"/>
      <w:r>
        <w:rPr>
          <w:rFonts w:asciiTheme="minorHAnsi" w:hAnsiTheme="minorHAnsi" w:cstheme="minorHAnsi"/>
          <w:b/>
          <w:color w:val="auto"/>
          <w:sz w:val="22"/>
        </w:rPr>
        <w:lastRenderedPageBreak/>
        <w:t xml:space="preserve">2. </w:t>
      </w:r>
      <w:r w:rsidR="00B6368B" w:rsidRPr="00B6368B">
        <w:rPr>
          <w:rFonts w:asciiTheme="minorHAnsi" w:hAnsiTheme="minorHAnsi" w:cstheme="minorHAnsi"/>
          <w:b/>
          <w:color w:val="auto"/>
          <w:sz w:val="22"/>
        </w:rPr>
        <w:t>Panorama Económico y Financiero</w:t>
      </w:r>
      <w:bookmarkEnd w:id="2"/>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38F580C3"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Para establecer las principales condiciones económico-financieras bajo las cuales este ente público estuvo operando e influyeron en la toma de decisiones de la administración municipal en este periodo, hacemos referencia principalmente en la recaudación por concepto del impuesto predial y participaciones federales, que son las principales fuentes de ingresos de libre disposición y a través de los cuales, el Municipio financia la prestación de servicios públicos.</w:t>
      </w:r>
    </w:p>
    <w:p w14:paraId="3D598D0F"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 xml:space="preserve">Durante el periodo enero – marzo 2022, se tuvo un incremento nominal del 7.31% en la recaudación del impuesto predial corriente en comparación con el mismo periodo del mismo periodo del ejercicio 2021, esto se debe principalmente a la reapertura de las actividades económicas en el país y nuestro municipio después de los cierres del ejercicio 2020, provocados por el COVID 19. </w:t>
      </w:r>
    </w:p>
    <w:p w14:paraId="208447E6" w14:textId="59CAB301" w:rsidR="0012493A" w:rsidRDefault="00485B73" w:rsidP="00516A8F">
      <w:pPr>
        <w:tabs>
          <w:tab w:val="left" w:leader="underscore" w:pos="9639"/>
        </w:tabs>
        <w:spacing w:after="0" w:line="240" w:lineRule="auto"/>
        <w:jc w:val="both"/>
        <w:rPr>
          <w:rFonts w:cs="Calibri"/>
        </w:rPr>
      </w:pPr>
      <w:r w:rsidRPr="00485B73">
        <w:rPr>
          <w:rFonts w:cs="Calibri"/>
        </w:rPr>
        <w:t>En materia de participaciones federales durante el periodo enero – marzo 2022 se tuvo un incremento nominal en la recaudación del 7.88%, en comparación con la recaudación del mismo periodo del ejercicio inmediato anterior, esto se debe principalmente a la reapertura de las actividades económicas en el país y nuestro municipio después de los cierres del ejercicio 2020, provocados por el COVID 19.</w:t>
      </w:r>
    </w:p>
    <w:p w14:paraId="0305CEA0" w14:textId="77777777" w:rsidR="0012493A" w:rsidRPr="00E74967" w:rsidRDefault="0012493A" w:rsidP="00516A8F">
      <w:pPr>
        <w:tabs>
          <w:tab w:val="left" w:leader="underscore" w:pos="9639"/>
        </w:tabs>
        <w:spacing w:after="0" w:line="240" w:lineRule="auto"/>
        <w:jc w:val="both"/>
        <w:rPr>
          <w:rFonts w:cs="Calibri"/>
        </w:rPr>
      </w:pPr>
    </w:p>
    <w:p w14:paraId="6C85E52D" w14:textId="5E4EC644" w:rsidR="007D1E76" w:rsidRPr="008E78F8" w:rsidRDefault="009736CB" w:rsidP="008E78F8">
      <w:pPr>
        <w:pStyle w:val="Ttulo2"/>
        <w:rPr>
          <w:rFonts w:asciiTheme="minorHAnsi" w:hAnsiTheme="minorHAnsi" w:cstheme="minorHAnsi"/>
          <w:b/>
          <w:color w:val="auto"/>
          <w:sz w:val="22"/>
        </w:rPr>
      </w:pPr>
      <w:bookmarkStart w:id="3" w:name="_Toc161472868"/>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3"/>
    </w:p>
    <w:p w14:paraId="473E4237" w14:textId="780D1B4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3ACF74F3" w14:textId="3CBB3E69" w:rsidR="007D1E76" w:rsidRPr="00E74967" w:rsidRDefault="00485B73" w:rsidP="00CB41C4">
      <w:pPr>
        <w:tabs>
          <w:tab w:val="left" w:leader="underscore" w:pos="9639"/>
        </w:tabs>
        <w:spacing w:after="0" w:line="240" w:lineRule="auto"/>
        <w:jc w:val="both"/>
        <w:rPr>
          <w:rFonts w:cs="Calibri"/>
        </w:rPr>
      </w:pPr>
      <w:r w:rsidRPr="00485B73">
        <w:rPr>
          <w:rFonts w:cs="Calibri"/>
        </w:rPr>
        <w:t>Administrar la Hacienda Pública en General y Actividades asistenciales.</w:t>
      </w:r>
    </w:p>
    <w:p w14:paraId="43C65E00" w14:textId="77777777" w:rsidR="007D1E76" w:rsidRPr="00E74967" w:rsidRDefault="007D1E76" w:rsidP="00CB41C4">
      <w:pPr>
        <w:tabs>
          <w:tab w:val="left" w:leader="underscore" w:pos="9639"/>
        </w:tabs>
        <w:spacing w:after="0" w:line="240" w:lineRule="auto"/>
        <w:jc w:val="both"/>
        <w:rPr>
          <w:rFonts w:cs="Calibri"/>
        </w:rPr>
      </w:pP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25E068D1" w14:textId="2722ACA6" w:rsidR="007D1E76" w:rsidRDefault="00485B73" w:rsidP="00CB41C4">
      <w:pPr>
        <w:tabs>
          <w:tab w:val="left" w:leader="underscore" w:pos="9639"/>
        </w:tabs>
        <w:spacing w:after="0" w:line="240" w:lineRule="auto"/>
        <w:jc w:val="both"/>
        <w:rPr>
          <w:rFonts w:cs="Calibri"/>
        </w:rPr>
      </w:pPr>
      <w:r w:rsidRPr="00485B73">
        <w:rPr>
          <w:rFonts w:cs="Calibri"/>
        </w:rPr>
        <w:t>Administrar la Hacienda Pública en General y Actividades asistenciales.</w:t>
      </w:r>
    </w:p>
    <w:p w14:paraId="15F90EEC" w14:textId="77777777" w:rsidR="00CB41C4" w:rsidRPr="00E74967" w:rsidRDefault="00CB41C4" w:rsidP="00CB41C4">
      <w:pPr>
        <w:tabs>
          <w:tab w:val="left" w:leader="underscore" w:pos="9639"/>
        </w:tabs>
        <w:spacing w:after="0" w:line="240" w:lineRule="auto"/>
        <w:jc w:val="both"/>
        <w:rPr>
          <w:rFonts w:cs="Calibri"/>
        </w:rPr>
      </w:pP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16703E54" w14:textId="022DF1FE" w:rsidR="007D1E76" w:rsidRDefault="00485B73" w:rsidP="00CB41C4">
      <w:pPr>
        <w:tabs>
          <w:tab w:val="left" w:leader="underscore" w:pos="9639"/>
        </w:tabs>
        <w:spacing w:after="0" w:line="240" w:lineRule="auto"/>
        <w:jc w:val="both"/>
        <w:rPr>
          <w:rFonts w:cs="Calibri"/>
        </w:rPr>
      </w:pPr>
      <w:r w:rsidRPr="00485B73">
        <w:rPr>
          <w:rFonts w:cs="Calibri"/>
        </w:rPr>
        <w:t>Enero-diciembre 2026.</w:t>
      </w:r>
    </w:p>
    <w:p w14:paraId="37A95A57" w14:textId="77777777" w:rsidR="00485B73" w:rsidRPr="00E74967" w:rsidRDefault="00485B73" w:rsidP="00CB41C4">
      <w:pPr>
        <w:tabs>
          <w:tab w:val="left" w:leader="underscore" w:pos="9639"/>
        </w:tabs>
        <w:spacing w:after="0" w:line="240" w:lineRule="auto"/>
        <w:jc w:val="both"/>
        <w:rPr>
          <w:rFonts w:cs="Calibri"/>
        </w:rPr>
      </w:pP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711C6095" w14:textId="566F58F1" w:rsidR="007D1E76" w:rsidRPr="00E74967" w:rsidRDefault="00485B73" w:rsidP="00CB41C4">
      <w:pPr>
        <w:tabs>
          <w:tab w:val="left" w:leader="underscore" w:pos="9639"/>
        </w:tabs>
        <w:spacing w:after="0" w:line="240" w:lineRule="auto"/>
        <w:jc w:val="both"/>
        <w:rPr>
          <w:rFonts w:cs="Calibri"/>
        </w:rPr>
      </w:pPr>
      <w:r w:rsidRPr="00485B73">
        <w:rPr>
          <w:rFonts w:cs="Calibri"/>
        </w:rPr>
        <w:t>Personas Morales sin fines de lucro.</w:t>
      </w:r>
    </w:p>
    <w:p w14:paraId="68B22724" w14:textId="77777777" w:rsidR="007D1E76" w:rsidRPr="00E74967" w:rsidRDefault="007D1E76" w:rsidP="00CB41C4">
      <w:pPr>
        <w:tabs>
          <w:tab w:val="left" w:leader="underscore" w:pos="9639"/>
        </w:tabs>
        <w:spacing w:after="0" w:line="240" w:lineRule="auto"/>
        <w:jc w:val="both"/>
        <w:rPr>
          <w:rFonts w:cs="Calibri"/>
        </w:rPr>
      </w:pP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29E8FBE2"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Presentar la declaración y pago provisional mensual de las retenciones de Impuesto Sobre la Renta (ISR) realizadas por el pago de rentas de bienes inmuebles.</w:t>
      </w:r>
    </w:p>
    <w:p w14:paraId="6A13CD17"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Presentar la declaración y pago provisional mensual de retenciones de Impuesto Sobre la Renta (ISR) por sueldos y salarios.</w:t>
      </w:r>
    </w:p>
    <w:p w14:paraId="14AFC9D8"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Presentar la declaración anual de Impuesto Sobre la Renta (ISR) donde se informe sobre las retenciones efectuadas por pagos de rentas de bienes inmuebles.</w:t>
      </w:r>
    </w:p>
    <w:p w14:paraId="36DF18D2"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Presentar la declaración anual donde se informe sobre las retenciones de los trabajadores que recibieron sueldos y salarios y trabajadores asimilados a salarios.</w:t>
      </w:r>
    </w:p>
    <w:p w14:paraId="27C7F05B"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Presentar la declaración y pago provisional mensual de Impuesto Sobre la Renta (ISR) por las retenciones realizadas a los trabajadores asimilados a salarios.</w:t>
      </w:r>
    </w:p>
    <w:p w14:paraId="3C5C9226"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Presentar la declaración y pago provisional mensual de Impuesto Sobre la Renta (ISR) por las retenciones realizadas por servicios profesionales.</w:t>
      </w:r>
    </w:p>
    <w:p w14:paraId="465F9365"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lastRenderedPageBreak/>
        <w:t>Presentar la declaración anual de Impuesto Sobre la Renta (ISR) donde informen sobre los pagos y retenciones de servicios profesionales. (personas morales).</w:t>
      </w:r>
    </w:p>
    <w:p w14:paraId="5BA6707E"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Presentar la declaración y pago provisional mensual del Impuesto Empresarial a Tasa Única (IETU).</w:t>
      </w:r>
    </w:p>
    <w:p w14:paraId="1B3673B5"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Presentar la declaración informativa anual de Subsidio para el Empleo.</w:t>
      </w:r>
    </w:p>
    <w:p w14:paraId="7E6777B9" w14:textId="1301A9BE" w:rsidR="007D1E76" w:rsidRPr="00E74967" w:rsidRDefault="00485B73" w:rsidP="00485B73">
      <w:pPr>
        <w:tabs>
          <w:tab w:val="left" w:leader="underscore" w:pos="9639"/>
        </w:tabs>
        <w:spacing w:after="0" w:line="240" w:lineRule="auto"/>
        <w:jc w:val="both"/>
        <w:rPr>
          <w:rFonts w:cs="Calibri"/>
        </w:rPr>
      </w:pPr>
      <w:r w:rsidRPr="00485B73">
        <w:rPr>
          <w:rFonts w:cs="Calibri"/>
        </w:rPr>
        <w:t>Presentar la declaración y pago anual del Impuesto Empresarial a Tasa Única (IETU).</w:t>
      </w:r>
    </w:p>
    <w:p w14:paraId="6268EF76" w14:textId="77777777" w:rsidR="007D1E76" w:rsidRPr="00E74967" w:rsidRDefault="007D1E76" w:rsidP="00CB41C4">
      <w:pPr>
        <w:tabs>
          <w:tab w:val="left" w:leader="underscore" w:pos="9639"/>
        </w:tabs>
        <w:spacing w:after="0" w:line="240" w:lineRule="auto"/>
        <w:jc w:val="both"/>
        <w:rPr>
          <w:rFonts w:cs="Calibri"/>
        </w:rPr>
      </w:pPr>
    </w:p>
    <w:p w14:paraId="6EB77A6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FE08B68" w14:textId="77777777" w:rsidR="007D1E76" w:rsidRPr="00E74967"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3450C629" w14:textId="3688FBB3" w:rsidR="007D1E76" w:rsidRDefault="007D1E76" w:rsidP="00CB41C4">
      <w:pPr>
        <w:tabs>
          <w:tab w:val="left" w:leader="underscore" w:pos="9639"/>
        </w:tabs>
        <w:spacing w:after="0" w:line="240" w:lineRule="auto"/>
        <w:jc w:val="both"/>
        <w:rPr>
          <w:rFonts w:cs="Calibri"/>
        </w:rPr>
      </w:pPr>
    </w:p>
    <w:p w14:paraId="402CD14D" w14:textId="2E98A210" w:rsidR="00CB41C4" w:rsidRDefault="00485B73" w:rsidP="00CB41C4">
      <w:pPr>
        <w:tabs>
          <w:tab w:val="left" w:leader="underscore" w:pos="9639"/>
        </w:tabs>
        <w:spacing w:after="0" w:line="240" w:lineRule="auto"/>
        <w:jc w:val="both"/>
        <w:rPr>
          <w:rFonts w:cs="Calibri"/>
        </w:rPr>
      </w:pPr>
      <w:r w:rsidRPr="00AC2998">
        <w:rPr>
          <w:rFonts w:cs="Calibri"/>
          <w:noProof/>
          <w:lang w:eastAsia="es-MX"/>
        </w:rPr>
        <w:drawing>
          <wp:inline distT="0" distB="0" distL="0" distR="0" wp14:anchorId="308E1BD3" wp14:editId="6141D6BD">
            <wp:extent cx="6151880" cy="3321050"/>
            <wp:effectExtent l="0" t="0" r="1270" b="0"/>
            <wp:docPr id="204782215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7822159" name=""/>
                    <pic:cNvPicPr/>
                  </pic:nvPicPr>
                  <pic:blipFill>
                    <a:blip r:embed="rId12"/>
                    <a:stretch>
                      <a:fillRect/>
                    </a:stretch>
                  </pic:blipFill>
                  <pic:spPr>
                    <a:xfrm>
                      <a:off x="0" y="0"/>
                      <a:ext cx="6151880" cy="3321050"/>
                    </a:xfrm>
                    <a:prstGeom prst="rect">
                      <a:avLst/>
                    </a:prstGeom>
                  </pic:spPr>
                </pic:pic>
              </a:graphicData>
            </a:graphic>
          </wp:inline>
        </w:drawing>
      </w:r>
    </w:p>
    <w:p w14:paraId="13E82C3D" w14:textId="6A972F8F" w:rsidR="00CB41C4" w:rsidRDefault="00CB41C4" w:rsidP="00CB41C4">
      <w:pPr>
        <w:tabs>
          <w:tab w:val="left" w:leader="underscore" w:pos="9639"/>
        </w:tabs>
        <w:spacing w:after="0" w:line="240" w:lineRule="auto"/>
        <w:jc w:val="both"/>
        <w:rPr>
          <w:rFonts w:cs="Calibri"/>
        </w:rPr>
      </w:pPr>
    </w:p>
    <w:p w14:paraId="45085FA9" w14:textId="77777777" w:rsidR="0054701E" w:rsidRDefault="0054701E" w:rsidP="00CB41C4">
      <w:pPr>
        <w:tabs>
          <w:tab w:val="left" w:leader="underscore" w:pos="9639"/>
        </w:tabs>
        <w:spacing w:after="0" w:line="240" w:lineRule="auto"/>
        <w:jc w:val="both"/>
        <w:rPr>
          <w:rFonts w:cs="Calibri"/>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4241EF36" w14:textId="0D1D8D6F" w:rsidR="007D1E76" w:rsidRDefault="00485B73" w:rsidP="00CB41C4">
      <w:pPr>
        <w:tabs>
          <w:tab w:val="left" w:leader="underscore" w:pos="9639"/>
        </w:tabs>
        <w:spacing w:after="0" w:line="240" w:lineRule="auto"/>
        <w:jc w:val="both"/>
        <w:rPr>
          <w:rFonts w:cs="Calibri"/>
        </w:rPr>
      </w:pPr>
      <w:r w:rsidRPr="00485B73">
        <w:rPr>
          <w:rFonts w:cs="Calibri"/>
        </w:rPr>
        <w:t>Fideicomiso Banamex Gobierno de Guanajuato y Municipio de Yuriria.</w:t>
      </w: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4" w:name="_Toc161472869"/>
      <w:r>
        <w:rPr>
          <w:rFonts w:asciiTheme="minorHAnsi" w:hAnsiTheme="minorHAnsi" w:cstheme="minorHAnsi"/>
          <w:b/>
          <w:color w:val="auto"/>
          <w:sz w:val="22"/>
        </w:rPr>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4"/>
    </w:p>
    <w:p w14:paraId="0FABCEB8" w14:textId="6FA555A4"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495B8FFF" w14:textId="26FBB5A9" w:rsidR="007D1E76" w:rsidRPr="00E74967" w:rsidRDefault="00485B73" w:rsidP="00CB41C4">
      <w:pPr>
        <w:tabs>
          <w:tab w:val="left" w:leader="underscore" w:pos="9639"/>
        </w:tabs>
        <w:spacing w:after="0" w:line="240" w:lineRule="auto"/>
        <w:jc w:val="both"/>
        <w:rPr>
          <w:rFonts w:cs="Calibri"/>
        </w:rPr>
      </w:pPr>
      <w:r w:rsidRPr="00485B73">
        <w:rPr>
          <w:rFonts w:cs="Calibri"/>
        </w:rPr>
        <w:t>Las bases que se tomaron para la preparación de los estados financieros del presente periodo, son conforme a la Normatividad emitida a la fecha por el Consejo Nacional de Armonización Contable, Constitución Política para el Estado de Guanajuato, Ley de Fiscalización Superior del  Estado de Guanajuato Ley General de Contabilidad Gubernamental, Ley Orgánica Municipal para el Estado de Guanajuato, Ley de Responsabilidades Administrativas de los Servidores Públicos del Estado de Guanajuato y sus Municipios.</w:t>
      </w:r>
    </w:p>
    <w:p w14:paraId="58B00679" w14:textId="77777777" w:rsidR="007D1E76" w:rsidRPr="00E74967" w:rsidRDefault="007D1E76" w:rsidP="00CB41C4">
      <w:pPr>
        <w:tabs>
          <w:tab w:val="left" w:leader="underscore" w:pos="9639"/>
        </w:tabs>
        <w:spacing w:after="0" w:line="240" w:lineRule="auto"/>
        <w:jc w:val="both"/>
        <w:rPr>
          <w:rFonts w:cs="Calibri"/>
        </w:rPr>
      </w:pP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w:t>
      </w:r>
      <w:r w:rsidRPr="00E74967">
        <w:rPr>
          <w:rFonts w:cs="Calibri"/>
        </w:rPr>
        <w:lastRenderedPageBreak/>
        <w:t>financieros; por ejemplo: costo histórico, valor de realización, valor razonable, valor de recuperación o cualquier otro método empleado y los criterios de aplicación de los mismos.</w:t>
      </w:r>
    </w:p>
    <w:p w14:paraId="1F9EE54B" w14:textId="2E6E7733" w:rsidR="007D1E76" w:rsidRPr="00E74967" w:rsidRDefault="00485B73" w:rsidP="00CB41C4">
      <w:pPr>
        <w:tabs>
          <w:tab w:val="left" w:leader="underscore" w:pos="9639"/>
        </w:tabs>
        <w:spacing w:after="0" w:line="240" w:lineRule="auto"/>
        <w:jc w:val="both"/>
        <w:rPr>
          <w:rFonts w:cs="Calibri"/>
        </w:rPr>
      </w:pPr>
      <w:r w:rsidRPr="00485B73">
        <w:rPr>
          <w:rFonts w:cs="Calibri"/>
        </w:rPr>
        <w:t>La normatividad aplicada para el reconocimiento, valuación y revelación de los diferentes rubros de la información financiera y las bases de medición utilizadas para la elaboración de los estados financieros son de acuerdo con las emitidas por el CONAC a la fecha de expedición.</w:t>
      </w:r>
    </w:p>
    <w:p w14:paraId="2DCF252C" w14:textId="77777777" w:rsidR="007D1E76" w:rsidRPr="00E74967" w:rsidRDefault="007D1E76" w:rsidP="00CB41C4">
      <w:pPr>
        <w:tabs>
          <w:tab w:val="left" w:leader="underscore" w:pos="9639"/>
        </w:tabs>
        <w:spacing w:after="0" w:line="240" w:lineRule="auto"/>
        <w:jc w:val="both"/>
        <w:rPr>
          <w:rFonts w:cs="Calibri"/>
        </w:rPr>
      </w:pP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5009A319" w14:textId="49BBDDB2" w:rsidR="007D1E76" w:rsidRPr="00E74967" w:rsidRDefault="00485B73" w:rsidP="00CB41C4">
      <w:pPr>
        <w:tabs>
          <w:tab w:val="left" w:leader="underscore" w:pos="9639"/>
        </w:tabs>
        <w:spacing w:after="0" w:line="240" w:lineRule="auto"/>
        <w:jc w:val="both"/>
        <w:rPr>
          <w:rFonts w:cs="Calibri"/>
        </w:rPr>
      </w:pPr>
      <w:r w:rsidRPr="00485B73">
        <w:rPr>
          <w:rFonts w:cs="Calibri"/>
        </w:rPr>
        <w:t>1.- Sustancia Económica, 2.- Entes Públicos, 3.- Existencia Permanente, 4.- Revelación Suficiente, 5.- Importancia Relativa, 6.- Registro e Integración Presupuestaria, 7.- Consolidación de la Información Financiera, 8.- Devengo Contable, 9.- Valuación, 10.- Dualidad Económica, 11.- Consistencia.</w:t>
      </w:r>
    </w:p>
    <w:p w14:paraId="1CC2D59E" w14:textId="77777777" w:rsidR="007D1E76" w:rsidRPr="00E74967" w:rsidRDefault="007D1E76" w:rsidP="00CB41C4">
      <w:pPr>
        <w:tabs>
          <w:tab w:val="left" w:leader="underscore" w:pos="9639"/>
        </w:tabs>
        <w:spacing w:after="0" w:line="240" w:lineRule="auto"/>
        <w:jc w:val="both"/>
        <w:rPr>
          <w:rFonts w:cs="Calibri"/>
        </w:rPr>
      </w:pP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384678DD" w14:textId="4F0CE7FB" w:rsidR="007D1E76" w:rsidRPr="00E74967" w:rsidRDefault="00485B73" w:rsidP="00CB41C4">
      <w:pPr>
        <w:tabs>
          <w:tab w:val="left" w:leader="underscore" w:pos="9639"/>
        </w:tabs>
        <w:spacing w:after="0" w:line="240" w:lineRule="auto"/>
        <w:jc w:val="both"/>
        <w:rPr>
          <w:rFonts w:cs="Calibri"/>
        </w:rPr>
      </w:pPr>
      <w:r w:rsidRPr="00485B73">
        <w:rPr>
          <w:rFonts w:cs="Calibri"/>
        </w:rPr>
        <w:t>A la fecha no se aplica normatividad supletoria.</w:t>
      </w:r>
    </w:p>
    <w:p w14:paraId="02977AB3" w14:textId="77777777" w:rsidR="007D1E76" w:rsidRPr="00E74967" w:rsidRDefault="007D1E76" w:rsidP="00CB41C4">
      <w:pPr>
        <w:tabs>
          <w:tab w:val="left" w:leader="underscore" w:pos="9639"/>
        </w:tabs>
        <w:spacing w:after="0" w:line="240" w:lineRule="auto"/>
        <w:jc w:val="both"/>
        <w:rPr>
          <w:rFonts w:cs="Calibri"/>
        </w:rPr>
      </w:pP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devengado de acuerdo a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68CF5993" w14:textId="039E029F" w:rsidR="007D1E76" w:rsidRPr="00E74967" w:rsidRDefault="00485B73" w:rsidP="00CB41C4">
      <w:pPr>
        <w:tabs>
          <w:tab w:val="left" w:leader="underscore" w:pos="9639"/>
        </w:tabs>
        <w:spacing w:after="0" w:line="240" w:lineRule="auto"/>
        <w:jc w:val="both"/>
        <w:rPr>
          <w:rFonts w:cs="Calibri"/>
        </w:rPr>
      </w:pPr>
      <w:r w:rsidRPr="00485B73">
        <w:rPr>
          <w:rFonts w:cs="Calibri"/>
        </w:rPr>
        <w:t>Este esté público empezó a utilizar la base del devengado de acuerdo con la Ley de Contabilidad Gubernamental en el año de 2010.</w:t>
      </w:r>
    </w:p>
    <w:p w14:paraId="75AC3EA1" w14:textId="77777777" w:rsidR="007D1E76" w:rsidRPr="00E74967" w:rsidRDefault="007D1E76"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4B273D75" w14:textId="112A2C00" w:rsidR="007D1E76" w:rsidRPr="00E74967" w:rsidRDefault="00485B73" w:rsidP="00CB41C4">
      <w:pPr>
        <w:tabs>
          <w:tab w:val="left" w:leader="underscore" w:pos="9639"/>
        </w:tabs>
        <w:spacing w:after="0" w:line="240" w:lineRule="auto"/>
        <w:jc w:val="both"/>
        <w:rPr>
          <w:rFonts w:cs="Calibri"/>
        </w:rPr>
      </w:pPr>
      <w:r w:rsidRPr="00485B73">
        <w:rPr>
          <w:rFonts w:cs="Calibri"/>
        </w:rPr>
        <w:t>Este esté público empezó a utilizar la base del devengado de acuerdo con la Ley de Contabilidad Gubernamental en el año de 2010.</w:t>
      </w:r>
    </w:p>
    <w:p w14:paraId="3B6D9156" w14:textId="77777777" w:rsidR="007D1E76" w:rsidRPr="00E74967" w:rsidRDefault="007D1E76"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los cambios en las políticas, la clasificación y medición de las mismas, así como su impacto en la información financiera:</w:t>
      </w:r>
    </w:p>
    <w:p w14:paraId="37B510AE"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Este esté publico empezó a utilizar la base del devengado de acuerdo con la Ley de Contabilidad Gubernamental en el año de 2010.</w:t>
      </w:r>
    </w:p>
    <w:p w14:paraId="384DA6DF"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Los Recargos y Rezagos por derechos de agua potable desde el ejercicio fiscal 2011 se reconocían dentro del CRI de accesorios de Impuestos, a partir del ejercicio fiscal 2017, los recargos se hace el reconocimiento de los mismos en el CRI de accesorios de Derechos y los Rezagos se reconocen dentro de los derechos.</w:t>
      </w:r>
    </w:p>
    <w:p w14:paraId="160793AE"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Los rezagos del impuesto predial a partir del ejercicio 2017 se reconocen dentro del CRI 12 y no dentro del CRI 17.</w:t>
      </w:r>
    </w:p>
    <w:p w14:paraId="5601B2E8" w14:textId="21E82A97" w:rsidR="00485B73" w:rsidRDefault="00485B73" w:rsidP="00485B73">
      <w:pPr>
        <w:tabs>
          <w:tab w:val="left" w:leader="underscore" w:pos="9639"/>
        </w:tabs>
        <w:spacing w:after="0" w:line="240" w:lineRule="auto"/>
        <w:jc w:val="both"/>
        <w:rPr>
          <w:rFonts w:cs="Calibri"/>
        </w:rPr>
      </w:pPr>
      <w:r w:rsidRPr="00485B73">
        <w:rPr>
          <w:rFonts w:cs="Calibri"/>
        </w:rPr>
        <w:t>Derivado de la armonización propuesta por la SFIA, a partir del ejercicio fiscal 2018 se realizó una restructura de los CRI.</w:t>
      </w:r>
    </w:p>
    <w:p w14:paraId="62B6A2EB" w14:textId="0EDB631B" w:rsidR="00485B73" w:rsidRPr="00E74967" w:rsidRDefault="00485B73" w:rsidP="00485B73">
      <w:pPr>
        <w:tabs>
          <w:tab w:val="left" w:leader="underscore" w:pos="9639"/>
        </w:tabs>
        <w:spacing w:after="0" w:line="240" w:lineRule="auto"/>
        <w:jc w:val="both"/>
        <w:rPr>
          <w:rFonts w:cs="Calibri"/>
        </w:rPr>
      </w:pPr>
      <w:r>
        <w:rPr>
          <w:rFonts w:cs="Calibri"/>
        </w:rPr>
        <w:t>En el 2023 se empezó a trabajar con los cambios indicados por SFIA en los datos maestros presupuestales y contables.</w:t>
      </w:r>
    </w:p>
    <w:p w14:paraId="57326D16" w14:textId="77777777" w:rsidR="006F0687" w:rsidRDefault="006F0687" w:rsidP="006F0687">
      <w:pPr>
        <w:tabs>
          <w:tab w:val="left" w:leader="underscore" w:pos="9639"/>
        </w:tabs>
        <w:spacing w:after="0" w:line="240" w:lineRule="auto"/>
        <w:jc w:val="both"/>
        <w:rPr>
          <w:rFonts w:cs="Calibri"/>
        </w:rPr>
      </w:pPr>
    </w:p>
    <w:p w14:paraId="71521D40" w14:textId="25A82D8F" w:rsidR="006F0687" w:rsidRPr="00E7496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2119A6EF" w14:textId="316C9940" w:rsidR="007D1E76" w:rsidRPr="00E74967" w:rsidRDefault="00485B73" w:rsidP="00CB41C4">
      <w:pPr>
        <w:tabs>
          <w:tab w:val="left" w:leader="underscore" w:pos="9639"/>
        </w:tabs>
        <w:spacing w:after="0" w:line="240" w:lineRule="auto"/>
        <w:jc w:val="both"/>
        <w:rPr>
          <w:rFonts w:cs="Calibri"/>
        </w:rPr>
      </w:pPr>
      <w:r w:rsidRPr="0087165F">
        <w:rPr>
          <w:rFonts w:cs="Calibri"/>
        </w:rPr>
        <w:t>Los estados financieros se han realizado en base a las disposiciones establecidas del CONAC.</w:t>
      </w:r>
    </w:p>
    <w:p w14:paraId="7025E7E0" w14:textId="4C87F38F" w:rsidR="007D1E76" w:rsidRPr="00E74967" w:rsidRDefault="007F699D" w:rsidP="000C3365">
      <w:pPr>
        <w:pStyle w:val="Ttulo2"/>
        <w:rPr>
          <w:rFonts w:cs="Calibri"/>
          <w:b/>
        </w:rPr>
      </w:pPr>
      <w:bookmarkStart w:id="5" w:name="_Toc161472870"/>
      <w:r>
        <w:rPr>
          <w:rFonts w:asciiTheme="minorHAnsi" w:hAnsiTheme="minorHAnsi" w:cstheme="minorHAnsi"/>
          <w:b/>
          <w:color w:val="auto"/>
          <w:sz w:val="22"/>
        </w:rPr>
        <w:lastRenderedPageBreak/>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5"/>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004A4D32" w14:textId="315EED26" w:rsidR="007D1E76" w:rsidRDefault="00485B73" w:rsidP="00CB41C4">
      <w:pPr>
        <w:tabs>
          <w:tab w:val="left" w:leader="underscore" w:pos="9639"/>
        </w:tabs>
        <w:spacing w:after="0" w:line="240" w:lineRule="auto"/>
        <w:jc w:val="both"/>
        <w:rPr>
          <w:rFonts w:cs="Calibri"/>
        </w:rPr>
      </w:pPr>
      <w:r w:rsidRPr="00485B73">
        <w:rPr>
          <w:rFonts w:cs="Calibri"/>
        </w:rPr>
        <w:t>Al periodo no se han utilizado métodos de actualización para el activo, pasivo y hacienda pública.</w:t>
      </w:r>
    </w:p>
    <w:p w14:paraId="21BCA625" w14:textId="77777777" w:rsidR="00485B73" w:rsidRPr="00E74967" w:rsidRDefault="00485B73" w:rsidP="00CB41C4">
      <w:pPr>
        <w:tabs>
          <w:tab w:val="left" w:leader="underscore" w:pos="9639"/>
        </w:tabs>
        <w:spacing w:after="0" w:line="240" w:lineRule="auto"/>
        <w:jc w:val="both"/>
        <w:rPr>
          <w:rFonts w:cs="Calibri"/>
        </w:rPr>
      </w:pP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761C47D7" w14:textId="601538E4" w:rsidR="007D1E76" w:rsidRPr="00E74967" w:rsidRDefault="00485B73" w:rsidP="00CB41C4">
      <w:pPr>
        <w:tabs>
          <w:tab w:val="left" w:leader="underscore" w:pos="9639"/>
        </w:tabs>
        <w:spacing w:after="0" w:line="240" w:lineRule="auto"/>
        <w:jc w:val="both"/>
        <w:rPr>
          <w:rFonts w:cs="Calibri"/>
        </w:rPr>
      </w:pPr>
      <w:r w:rsidRPr="00485B73">
        <w:rPr>
          <w:rFonts w:cs="Calibri"/>
        </w:rPr>
        <w:t>Al periodo no se han tenido operaciones en el extranjero.</w:t>
      </w:r>
    </w:p>
    <w:p w14:paraId="35FCED94" w14:textId="77777777" w:rsidR="007D1E76" w:rsidRPr="00E74967" w:rsidRDefault="007D1E76" w:rsidP="00CB41C4">
      <w:pPr>
        <w:tabs>
          <w:tab w:val="left" w:leader="underscore" w:pos="9639"/>
        </w:tabs>
        <w:spacing w:after="0" w:line="240" w:lineRule="auto"/>
        <w:jc w:val="both"/>
        <w:rPr>
          <w:rFonts w:cs="Calibri"/>
        </w:rPr>
      </w:pP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1C1D647B" w14:textId="4FD9242E" w:rsidR="007D1E76" w:rsidRPr="00E74967" w:rsidRDefault="00485B73" w:rsidP="00CB41C4">
      <w:pPr>
        <w:tabs>
          <w:tab w:val="left" w:leader="underscore" w:pos="9639"/>
        </w:tabs>
        <w:spacing w:after="0" w:line="240" w:lineRule="auto"/>
        <w:jc w:val="both"/>
        <w:rPr>
          <w:rFonts w:cs="Calibri"/>
        </w:rPr>
      </w:pPr>
      <w:r w:rsidRPr="00485B73">
        <w:rPr>
          <w:rFonts w:cs="Calibri"/>
        </w:rPr>
        <w:t>Al periodo no se tienen inversiones en acciones de Compañías Subsidiarias no consolidadas y asociadas.</w:t>
      </w:r>
    </w:p>
    <w:p w14:paraId="2EA4933C" w14:textId="77777777" w:rsidR="007D1E76" w:rsidRPr="00E74967" w:rsidRDefault="007D1E76" w:rsidP="00CB41C4">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788115A4" w14:textId="6E29AFE2" w:rsidR="007D1E76" w:rsidRPr="00E74967" w:rsidRDefault="00485B73" w:rsidP="00CB41C4">
      <w:pPr>
        <w:tabs>
          <w:tab w:val="left" w:leader="underscore" w:pos="9639"/>
        </w:tabs>
        <w:spacing w:after="0" w:line="240" w:lineRule="auto"/>
        <w:jc w:val="both"/>
        <w:rPr>
          <w:rFonts w:cs="Calibri"/>
        </w:rPr>
      </w:pPr>
      <w:r w:rsidRPr="00485B73">
        <w:rPr>
          <w:rFonts w:cs="Calibri"/>
        </w:rPr>
        <w:t>Al periodo no se cuenta con inventario de mercancías para venta por lo que no se cuenta con un método de valuación y costo de lo vendido.</w:t>
      </w:r>
    </w:p>
    <w:p w14:paraId="0B282127" w14:textId="77777777" w:rsidR="007D1E76" w:rsidRPr="00E74967" w:rsidRDefault="007D1E76" w:rsidP="00CB41C4">
      <w:pPr>
        <w:tabs>
          <w:tab w:val="left" w:leader="underscore" w:pos="9639"/>
        </w:tabs>
        <w:spacing w:after="0" w:line="240" w:lineRule="auto"/>
        <w:jc w:val="both"/>
        <w:rPr>
          <w:rFonts w:cs="Calibri"/>
        </w:rPr>
      </w:pP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3488266C" w14:textId="3F4EC0FB" w:rsidR="007D1E76" w:rsidRPr="00E74967" w:rsidRDefault="00485B73" w:rsidP="00CB41C4">
      <w:pPr>
        <w:tabs>
          <w:tab w:val="left" w:leader="underscore" w:pos="9639"/>
        </w:tabs>
        <w:spacing w:after="0" w:line="240" w:lineRule="auto"/>
        <w:jc w:val="both"/>
        <w:rPr>
          <w:rFonts w:cs="Calibri"/>
        </w:rPr>
      </w:pPr>
      <w:r w:rsidRPr="00485B73">
        <w:rPr>
          <w:rFonts w:cs="Calibri"/>
        </w:rPr>
        <w:t>Al periodo no se tienen beneficios para empleados en cuestión de reserva actuarial.</w:t>
      </w:r>
    </w:p>
    <w:p w14:paraId="6636D845" w14:textId="77777777" w:rsidR="007D1E76" w:rsidRPr="00E74967" w:rsidRDefault="007D1E76" w:rsidP="00CB41C4">
      <w:pPr>
        <w:tabs>
          <w:tab w:val="left" w:leader="underscore" w:pos="9639"/>
        </w:tabs>
        <w:spacing w:after="0" w:line="240" w:lineRule="auto"/>
        <w:jc w:val="both"/>
        <w:rPr>
          <w:rFonts w:cs="Calibri"/>
        </w:rPr>
      </w:pP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4E40100B" w14:textId="561BEE5A" w:rsidR="007D1E76" w:rsidRPr="00E74967" w:rsidRDefault="00485B73" w:rsidP="00CB41C4">
      <w:pPr>
        <w:tabs>
          <w:tab w:val="left" w:leader="underscore" w:pos="9639"/>
        </w:tabs>
        <w:spacing w:after="0" w:line="240" w:lineRule="auto"/>
        <w:jc w:val="both"/>
        <w:rPr>
          <w:rFonts w:cs="Calibri"/>
        </w:rPr>
      </w:pPr>
      <w:r w:rsidRPr="00485B73">
        <w:rPr>
          <w:rFonts w:cs="Calibri"/>
        </w:rPr>
        <w:t>Al periodo contablemente no se tienen provisiones.</w:t>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4C613419" w14:textId="31E3B54C" w:rsidR="007D1E76" w:rsidRPr="00E74967" w:rsidRDefault="00485B73" w:rsidP="00CB41C4">
      <w:pPr>
        <w:tabs>
          <w:tab w:val="left" w:leader="underscore" w:pos="9639"/>
        </w:tabs>
        <w:spacing w:after="0" w:line="240" w:lineRule="auto"/>
        <w:jc w:val="both"/>
        <w:rPr>
          <w:rFonts w:cs="Calibri"/>
        </w:rPr>
      </w:pPr>
      <w:r w:rsidRPr="00485B73">
        <w:rPr>
          <w:rFonts w:cs="Calibri"/>
        </w:rPr>
        <w:t>Las reservas se registran en el sistema de acuerdo a la información de los contratos realizados por el Municipio.</w:t>
      </w:r>
    </w:p>
    <w:p w14:paraId="48187B92" w14:textId="77777777" w:rsidR="007D1E76" w:rsidRPr="00E74967" w:rsidRDefault="007D1E76" w:rsidP="00CB41C4">
      <w:pPr>
        <w:tabs>
          <w:tab w:val="left" w:leader="underscore" w:pos="9639"/>
        </w:tabs>
        <w:spacing w:after="0" w:line="240" w:lineRule="auto"/>
        <w:jc w:val="both"/>
        <w:rPr>
          <w:rFonts w:cs="Calibri"/>
        </w:rPr>
      </w:pP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14696C24" w14:textId="6A98E946" w:rsidR="007D1E76" w:rsidRPr="00E74967" w:rsidRDefault="00485B73" w:rsidP="00CB41C4">
      <w:pPr>
        <w:tabs>
          <w:tab w:val="left" w:leader="underscore" w:pos="9639"/>
        </w:tabs>
        <w:spacing w:after="0" w:line="240" w:lineRule="auto"/>
        <w:jc w:val="both"/>
        <w:rPr>
          <w:rFonts w:cs="Calibri"/>
        </w:rPr>
      </w:pPr>
      <w:r w:rsidRPr="00485B73">
        <w:rPr>
          <w:rFonts w:cs="Calibri"/>
        </w:rPr>
        <w:t>Los cambios en políticas contables que se llevaron a cabo en este ente público para la emisión de información financiera fueron de acuerdo la Ley de Contabilidad Gubernamental y la Normatividad vigente emitida por el CONAC hasta el periodo que se informa.</w:t>
      </w:r>
    </w:p>
    <w:p w14:paraId="2B6668A3" w14:textId="77777777" w:rsidR="007D1E76" w:rsidRPr="00E74967" w:rsidRDefault="007D1E76" w:rsidP="00CB41C4">
      <w:pPr>
        <w:tabs>
          <w:tab w:val="left" w:leader="underscore" w:pos="9639"/>
        </w:tabs>
        <w:spacing w:after="0" w:line="240" w:lineRule="auto"/>
        <w:jc w:val="both"/>
        <w:rPr>
          <w:rFonts w:cs="Calibri"/>
        </w:rPr>
      </w:pP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4342A110" w14:textId="3D3EE041" w:rsidR="007D1E76" w:rsidRDefault="00485B73" w:rsidP="00CB41C4">
      <w:pPr>
        <w:tabs>
          <w:tab w:val="left" w:leader="underscore" w:pos="9639"/>
        </w:tabs>
        <w:spacing w:after="0" w:line="240" w:lineRule="auto"/>
        <w:jc w:val="both"/>
        <w:rPr>
          <w:rFonts w:cs="Calibri"/>
        </w:rPr>
      </w:pPr>
      <w:r w:rsidRPr="00485B73">
        <w:rPr>
          <w:rFonts w:cs="Calibri"/>
        </w:rPr>
        <w:t>Las reclasificaciones realizadas en el periodo son reclasificaciones contables que no realizan cambios en los tipos de operación.</w:t>
      </w:r>
    </w:p>
    <w:p w14:paraId="302DEE9D" w14:textId="77777777" w:rsidR="00485B73" w:rsidRPr="00E74967" w:rsidRDefault="00485B73" w:rsidP="00CB41C4">
      <w:pPr>
        <w:tabs>
          <w:tab w:val="left" w:leader="underscore" w:pos="9639"/>
        </w:tabs>
        <w:spacing w:after="0" w:line="240" w:lineRule="auto"/>
        <w:jc w:val="both"/>
        <w:rPr>
          <w:rFonts w:cs="Calibri"/>
        </w:rPr>
      </w:pPr>
    </w:p>
    <w:p w14:paraId="6E29C8B6" w14:textId="77777777" w:rsidR="007D1E76" w:rsidRPr="00E74967" w:rsidRDefault="007D1E76" w:rsidP="00CB41C4">
      <w:pPr>
        <w:tabs>
          <w:tab w:val="left" w:leader="underscore" w:pos="9639"/>
        </w:tabs>
        <w:spacing w:after="0" w:line="240" w:lineRule="auto"/>
        <w:jc w:val="both"/>
        <w:rPr>
          <w:rFonts w:cs="Calibri"/>
        </w:rPr>
      </w:pP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lastRenderedPageBreak/>
        <w:t>j)</w:t>
      </w:r>
      <w:r w:rsidRPr="00E74967">
        <w:rPr>
          <w:rFonts w:cs="Calibri"/>
        </w:rPr>
        <w:t xml:space="preserve"> Depuración y cancelación de saldos:</w:t>
      </w:r>
    </w:p>
    <w:p w14:paraId="02C28F78" w14:textId="0E55CED4" w:rsidR="007D1E76" w:rsidRPr="00E74967" w:rsidRDefault="00485B73" w:rsidP="00CB41C4">
      <w:pPr>
        <w:tabs>
          <w:tab w:val="left" w:leader="underscore" w:pos="9639"/>
        </w:tabs>
        <w:spacing w:after="0" w:line="240" w:lineRule="auto"/>
        <w:jc w:val="both"/>
        <w:rPr>
          <w:rFonts w:cs="Calibri"/>
        </w:rPr>
      </w:pPr>
      <w:r w:rsidRPr="00485B73">
        <w:rPr>
          <w:rFonts w:cs="Calibri"/>
        </w:rPr>
        <w:t>Se realizan depuraciones de forma mensual, trimestral y/o anual.</w:t>
      </w:r>
    </w:p>
    <w:p w14:paraId="051C6058" w14:textId="14E5F398" w:rsidR="00E00323" w:rsidRPr="00E74967" w:rsidRDefault="00E00323" w:rsidP="00CB41C4">
      <w:pPr>
        <w:tabs>
          <w:tab w:val="left" w:leader="underscore" w:pos="9639"/>
        </w:tabs>
        <w:spacing w:after="0" w:line="240" w:lineRule="auto"/>
        <w:jc w:val="both"/>
        <w:rPr>
          <w:rFonts w:cs="Calibri"/>
        </w:rPr>
      </w:pPr>
    </w:p>
    <w:p w14:paraId="60114D16" w14:textId="3ED428B0" w:rsidR="007D1E76" w:rsidRPr="008E78F8" w:rsidRDefault="003E6C64" w:rsidP="008E78F8">
      <w:pPr>
        <w:pStyle w:val="Ttulo2"/>
        <w:rPr>
          <w:rFonts w:asciiTheme="minorHAnsi" w:hAnsiTheme="minorHAnsi" w:cstheme="minorHAnsi"/>
          <w:b/>
          <w:color w:val="auto"/>
          <w:sz w:val="22"/>
        </w:rPr>
      </w:pPr>
      <w:bookmarkStart w:id="6" w:name="_Toc161472871"/>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6"/>
    </w:p>
    <w:p w14:paraId="7E8BC54D" w14:textId="15493A5F"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20464C79" w14:textId="24C12324" w:rsidR="007D1E76" w:rsidRPr="00E74967" w:rsidRDefault="00485B73" w:rsidP="00CB41C4">
      <w:pPr>
        <w:tabs>
          <w:tab w:val="left" w:leader="underscore" w:pos="9639"/>
        </w:tabs>
        <w:spacing w:after="0" w:line="240" w:lineRule="auto"/>
        <w:jc w:val="both"/>
        <w:rPr>
          <w:rFonts w:cs="Calibri"/>
        </w:rPr>
      </w:pPr>
      <w:r w:rsidRPr="00485B73">
        <w:rPr>
          <w:rFonts w:cs="Calibri"/>
        </w:rPr>
        <w:t>No se tienen activos en moneda extranjera.</w:t>
      </w:r>
    </w:p>
    <w:p w14:paraId="43F08C55" w14:textId="77777777" w:rsidR="007D1E76" w:rsidRPr="00E74967" w:rsidRDefault="007D1E76" w:rsidP="00CB41C4">
      <w:pPr>
        <w:tabs>
          <w:tab w:val="left" w:leader="underscore" w:pos="9639"/>
        </w:tabs>
        <w:spacing w:after="0" w:line="240" w:lineRule="auto"/>
        <w:jc w:val="both"/>
        <w:rPr>
          <w:rFonts w:cs="Calibri"/>
        </w:rPr>
      </w:pP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22EC0EC7" w14:textId="0DA7327D" w:rsidR="007D1E76" w:rsidRPr="00E74967" w:rsidRDefault="00485B73" w:rsidP="00CB41C4">
      <w:pPr>
        <w:tabs>
          <w:tab w:val="left" w:leader="underscore" w:pos="9639"/>
        </w:tabs>
        <w:spacing w:after="0" w:line="240" w:lineRule="auto"/>
        <w:jc w:val="both"/>
        <w:rPr>
          <w:rFonts w:cs="Calibri"/>
        </w:rPr>
      </w:pPr>
      <w:r w:rsidRPr="00485B73">
        <w:rPr>
          <w:rFonts w:cs="Calibri"/>
        </w:rPr>
        <w:t>No se tienen pasivos en moneda extranjera.</w:t>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261C502E" w14:textId="47BFEFEE" w:rsidR="007D1E76" w:rsidRPr="00E74967" w:rsidRDefault="00485B73" w:rsidP="00CB41C4">
      <w:pPr>
        <w:tabs>
          <w:tab w:val="left" w:leader="underscore" w:pos="9639"/>
        </w:tabs>
        <w:spacing w:after="0" w:line="240" w:lineRule="auto"/>
        <w:jc w:val="both"/>
        <w:rPr>
          <w:rFonts w:cs="Calibri"/>
        </w:rPr>
      </w:pPr>
      <w:r w:rsidRPr="00485B73">
        <w:rPr>
          <w:rFonts w:cs="Calibri"/>
        </w:rPr>
        <w:t>No se tienen operaciones en moneda extranjera.</w:t>
      </w:r>
    </w:p>
    <w:p w14:paraId="273CC39D" w14:textId="77777777" w:rsidR="007D1E76" w:rsidRPr="00E74967" w:rsidRDefault="007D1E76" w:rsidP="00CB41C4">
      <w:pPr>
        <w:tabs>
          <w:tab w:val="left" w:leader="underscore" w:pos="9639"/>
        </w:tabs>
        <w:spacing w:after="0" w:line="240" w:lineRule="auto"/>
        <w:jc w:val="both"/>
        <w:rPr>
          <w:rFonts w:cs="Calibri"/>
        </w:rPr>
      </w:pP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011B6E8C" w14:textId="2D7A0C88" w:rsidR="007D1E76" w:rsidRPr="00E74967" w:rsidRDefault="00485B73" w:rsidP="00CB41C4">
      <w:pPr>
        <w:tabs>
          <w:tab w:val="left" w:leader="underscore" w:pos="9639"/>
        </w:tabs>
        <w:spacing w:after="0" w:line="240" w:lineRule="auto"/>
        <w:jc w:val="both"/>
        <w:rPr>
          <w:rFonts w:cs="Calibri"/>
        </w:rPr>
      </w:pPr>
      <w:r w:rsidRPr="00485B73">
        <w:rPr>
          <w:rFonts w:cs="Calibri"/>
        </w:rPr>
        <w:t>No se tienen operaciones en moneda extranjera.</w:t>
      </w:r>
    </w:p>
    <w:p w14:paraId="146CAEC1" w14:textId="77777777" w:rsidR="007D1E76" w:rsidRPr="00E74967" w:rsidRDefault="007D1E76" w:rsidP="00CB41C4">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3EDA9CB4" w14:textId="1A1A918C" w:rsidR="007D1E76" w:rsidRPr="00E74967" w:rsidRDefault="00485B73" w:rsidP="00CB41C4">
      <w:pPr>
        <w:tabs>
          <w:tab w:val="left" w:leader="underscore" w:pos="9639"/>
        </w:tabs>
        <w:spacing w:after="0" w:line="240" w:lineRule="auto"/>
        <w:jc w:val="both"/>
        <w:rPr>
          <w:rFonts w:cs="Calibri"/>
        </w:rPr>
      </w:pPr>
      <w:r w:rsidRPr="00485B73">
        <w:rPr>
          <w:rFonts w:cs="Calibri"/>
        </w:rPr>
        <w:t>No se tienen operaciones en moneda extranjera.</w:t>
      </w:r>
    </w:p>
    <w:p w14:paraId="63BA699C" w14:textId="77777777" w:rsidR="007D1E76" w:rsidRPr="00E74967" w:rsidRDefault="007D1E76" w:rsidP="00CB41C4">
      <w:pPr>
        <w:tabs>
          <w:tab w:val="left" w:leader="underscore" w:pos="9639"/>
        </w:tabs>
        <w:spacing w:after="0" w:line="240" w:lineRule="auto"/>
        <w:jc w:val="both"/>
        <w:rPr>
          <w:rFonts w:cs="Calibri"/>
        </w:rPr>
      </w:pP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6B0A6883" w14:textId="5E171727" w:rsidR="007D1E76" w:rsidRPr="00E74967" w:rsidRDefault="007D1E76" w:rsidP="00CB41C4">
      <w:pPr>
        <w:tabs>
          <w:tab w:val="left" w:leader="underscore" w:pos="9639"/>
        </w:tabs>
        <w:spacing w:after="0" w:line="240" w:lineRule="auto"/>
        <w:jc w:val="both"/>
        <w:rPr>
          <w:rFonts w:cs="Calibri"/>
        </w:rPr>
      </w:pPr>
    </w:p>
    <w:p w14:paraId="1C9AE80E" w14:textId="530B4F5F" w:rsidR="007D1E76" w:rsidRPr="008E78F8" w:rsidRDefault="0064059E" w:rsidP="008E78F8">
      <w:pPr>
        <w:pStyle w:val="Ttulo2"/>
        <w:rPr>
          <w:rFonts w:asciiTheme="minorHAnsi" w:hAnsiTheme="minorHAnsi" w:cstheme="minorHAnsi"/>
          <w:b/>
          <w:color w:val="auto"/>
          <w:sz w:val="22"/>
        </w:rPr>
      </w:pPr>
      <w:bookmarkStart w:id="7" w:name="_Toc161472872"/>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7"/>
    </w:p>
    <w:p w14:paraId="0E1FB990" w14:textId="7B9BB3B8"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18A5CC0A" w14:textId="355901E2" w:rsidR="007D1E76" w:rsidRPr="00E74967" w:rsidRDefault="00485B73" w:rsidP="00CB41C4">
      <w:pPr>
        <w:tabs>
          <w:tab w:val="left" w:leader="underscore" w:pos="9639"/>
        </w:tabs>
        <w:spacing w:after="0" w:line="240" w:lineRule="auto"/>
        <w:jc w:val="both"/>
        <w:rPr>
          <w:rFonts w:cs="Calibri"/>
        </w:rPr>
      </w:pPr>
      <w:r w:rsidRPr="00485B73">
        <w:rPr>
          <w:rFonts w:cs="Calibri"/>
        </w:rPr>
        <w:t>Los porcentajes tomados para la depreciación de los activos fijos son los establecidos dentro de la normativa emitida a la fecha por el CONAC.</w:t>
      </w:r>
    </w:p>
    <w:p w14:paraId="2B914A04" w14:textId="77777777" w:rsidR="007D1E76" w:rsidRPr="00E74967" w:rsidRDefault="007D1E76" w:rsidP="00CB41C4">
      <w:pPr>
        <w:tabs>
          <w:tab w:val="left" w:leader="underscore" w:pos="9639"/>
        </w:tabs>
        <w:spacing w:after="0" w:line="240" w:lineRule="auto"/>
        <w:jc w:val="both"/>
        <w:rPr>
          <w:rFonts w:cs="Calibri"/>
        </w:rPr>
      </w:pP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1983354C" w14:textId="1C4E9492" w:rsidR="007D1E76" w:rsidRPr="00E74967" w:rsidRDefault="00485B73" w:rsidP="00CB41C4">
      <w:pPr>
        <w:tabs>
          <w:tab w:val="left" w:leader="underscore" w:pos="9639"/>
        </w:tabs>
        <w:spacing w:after="0" w:line="240" w:lineRule="auto"/>
        <w:jc w:val="both"/>
        <w:rPr>
          <w:rFonts w:cs="Calibri"/>
        </w:rPr>
      </w:pPr>
      <w:r w:rsidRPr="00485B73">
        <w:rPr>
          <w:rFonts w:cs="Calibri"/>
        </w:rPr>
        <w:t>Los porcentajes tomados para la depreciación de los activos fijos son los establecidos dentro de la normativa emitida a la fecha por el CONAC.</w:t>
      </w:r>
    </w:p>
    <w:p w14:paraId="59A0596F" w14:textId="77777777" w:rsidR="007D1E76" w:rsidRPr="00E74967" w:rsidRDefault="007D1E76" w:rsidP="00CB41C4">
      <w:pPr>
        <w:tabs>
          <w:tab w:val="left" w:leader="underscore" w:pos="9639"/>
        </w:tabs>
        <w:spacing w:after="0" w:line="240" w:lineRule="auto"/>
        <w:jc w:val="both"/>
        <w:rPr>
          <w:rFonts w:cs="Calibri"/>
        </w:rPr>
      </w:pP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7D1F662D" w14:textId="15C6B039" w:rsidR="007D1E76" w:rsidRPr="00E74967" w:rsidRDefault="00485B73" w:rsidP="00CB41C4">
      <w:pPr>
        <w:tabs>
          <w:tab w:val="left" w:leader="underscore" w:pos="9639"/>
        </w:tabs>
        <w:spacing w:after="0" w:line="240" w:lineRule="auto"/>
        <w:jc w:val="both"/>
        <w:rPr>
          <w:rFonts w:cs="Calibri"/>
        </w:rPr>
      </w:pPr>
      <w:r w:rsidRPr="00485B73">
        <w:rPr>
          <w:rFonts w:cs="Calibri"/>
        </w:rPr>
        <w:t>A la Fecha no se han realizado gastos financieros como de investigación y desarrollo.</w:t>
      </w:r>
    </w:p>
    <w:p w14:paraId="389FC7C1" w14:textId="77777777" w:rsidR="007D1E76" w:rsidRPr="00E74967" w:rsidRDefault="007D1E76" w:rsidP="00CB41C4">
      <w:pPr>
        <w:tabs>
          <w:tab w:val="left" w:leader="underscore" w:pos="9639"/>
        </w:tabs>
        <w:spacing w:after="0" w:line="240" w:lineRule="auto"/>
        <w:jc w:val="both"/>
        <w:rPr>
          <w:rFonts w:cs="Calibri"/>
        </w:rPr>
      </w:pP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1EBA774" w14:textId="5E38C0D8" w:rsidR="007D1E76" w:rsidRPr="00E74967" w:rsidRDefault="00485B73" w:rsidP="00CB41C4">
      <w:pPr>
        <w:tabs>
          <w:tab w:val="left" w:leader="underscore" w:pos="9639"/>
        </w:tabs>
        <w:spacing w:after="0" w:line="240" w:lineRule="auto"/>
        <w:jc w:val="both"/>
        <w:rPr>
          <w:rFonts w:cs="Calibri"/>
        </w:rPr>
      </w:pPr>
      <w:r w:rsidRPr="00485B73">
        <w:rPr>
          <w:rFonts w:cs="Calibri"/>
        </w:rPr>
        <w:t>A la fecha no se tienen inversiones financieras que representen riesgo por tipo de cambio o interés.</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6569FCE5" w14:textId="49278F82" w:rsidR="007D1E76" w:rsidRPr="00E74967" w:rsidRDefault="00485B73" w:rsidP="00CB41C4">
      <w:pPr>
        <w:tabs>
          <w:tab w:val="left" w:leader="underscore" w:pos="9639"/>
        </w:tabs>
        <w:spacing w:after="0" w:line="240" w:lineRule="auto"/>
        <w:jc w:val="both"/>
        <w:rPr>
          <w:rFonts w:cs="Calibri"/>
        </w:rPr>
      </w:pPr>
      <w:r w:rsidRPr="00485B73">
        <w:rPr>
          <w:rFonts w:cs="Calibri"/>
        </w:rPr>
        <w:t>A la fecha no se tiene valor activado de los bienes construidos por la entidad.</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42FC9AF6" w14:textId="6A4D861A" w:rsidR="007D1E76" w:rsidRPr="00E74967" w:rsidRDefault="00485B73" w:rsidP="00CB41C4">
      <w:pPr>
        <w:tabs>
          <w:tab w:val="left" w:leader="underscore" w:pos="9639"/>
        </w:tabs>
        <w:spacing w:after="0" w:line="240" w:lineRule="auto"/>
        <w:jc w:val="both"/>
        <w:rPr>
          <w:rFonts w:cs="Calibri"/>
        </w:rPr>
      </w:pPr>
      <w:r w:rsidRPr="00485B73">
        <w:rPr>
          <w:rFonts w:cs="Calibri"/>
        </w:rPr>
        <w:lastRenderedPageBreak/>
        <w:t>A la fecha no se tienen bienes en garantía, baja significativa de inversiones financieras, etc.</w:t>
      </w:r>
    </w:p>
    <w:p w14:paraId="6FD1B4E4" w14:textId="77777777" w:rsidR="007D1E76" w:rsidRPr="00E74967" w:rsidRDefault="007D1E76" w:rsidP="00CB41C4">
      <w:pPr>
        <w:tabs>
          <w:tab w:val="left" w:leader="underscore" w:pos="9639"/>
        </w:tabs>
        <w:spacing w:after="0" w:line="240" w:lineRule="auto"/>
        <w:jc w:val="both"/>
        <w:rPr>
          <w:rFonts w:cs="Calibri"/>
        </w:rPr>
      </w:pP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5D20F94" w14:textId="3B87C3E7" w:rsidR="007D1E76" w:rsidRPr="00E74967" w:rsidRDefault="00485B73" w:rsidP="00CB41C4">
      <w:pPr>
        <w:tabs>
          <w:tab w:val="left" w:leader="underscore" w:pos="9639"/>
        </w:tabs>
        <w:spacing w:after="0" w:line="240" w:lineRule="auto"/>
        <w:jc w:val="both"/>
        <w:rPr>
          <w:rFonts w:cs="Calibri"/>
        </w:rPr>
      </w:pPr>
      <w:r w:rsidRPr="00485B73">
        <w:rPr>
          <w:rFonts w:cs="Calibri"/>
        </w:rPr>
        <w:t>Los procedimientos que se realizan en el ente son de acuerdo a los lineamientos y normatividad aplicable emitida por el CONAC.</w:t>
      </w:r>
    </w:p>
    <w:p w14:paraId="46AC9102" w14:textId="77777777" w:rsidR="007D1E76" w:rsidRPr="00E74967" w:rsidRDefault="007D1E76" w:rsidP="00CB41C4">
      <w:pPr>
        <w:tabs>
          <w:tab w:val="left" w:leader="underscore" w:pos="9639"/>
        </w:tabs>
        <w:spacing w:after="0" w:line="240" w:lineRule="auto"/>
        <w:jc w:val="both"/>
        <w:rPr>
          <w:rFonts w:cs="Calibri"/>
        </w:rPr>
      </w:pP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3776027" w14:textId="77777777" w:rsidR="00485B73" w:rsidRPr="00485B73" w:rsidRDefault="00485B73" w:rsidP="00485B73">
      <w:pPr>
        <w:tabs>
          <w:tab w:val="left" w:leader="underscore" w:pos="9639"/>
        </w:tabs>
        <w:spacing w:after="0" w:line="240" w:lineRule="auto"/>
        <w:jc w:val="both"/>
        <w:rPr>
          <w:rFonts w:cs="Calibri"/>
        </w:rPr>
      </w:pPr>
      <w:r w:rsidRPr="00485B73">
        <w:rPr>
          <w:rFonts w:cs="Calibri"/>
        </w:rPr>
        <w:t>Respecto a la administración de los activos circulantes, estos se priorizan en base a las necesidades, programas y proyectos que se plantean dentro del presupuesto de egresos para el ejercicio correspondiente, con el cual se pretende cumplir de manera efectiva a los objetivos planteados dentro del plan de gobierno municipal.</w:t>
      </w:r>
    </w:p>
    <w:p w14:paraId="76A7ECE1" w14:textId="45B0A9E9" w:rsidR="007D1E76" w:rsidRPr="00E74967" w:rsidRDefault="00485B73" w:rsidP="00485B73">
      <w:pPr>
        <w:tabs>
          <w:tab w:val="left" w:leader="underscore" w:pos="9639"/>
        </w:tabs>
        <w:spacing w:after="0" w:line="240" w:lineRule="auto"/>
        <w:jc w:val="both"/>
        <w:rPr>
          <w:rFonts w:cs="Calibri"/>
        </w:rPr>
      </w:pPr>
      <w:r w:rsidRPr="00485B73">
        <w:rPr>
          <w:rFonts w:cs="Calibri"/>
        </w:rPr>
        <w:t>En cuanto a los activos fijos, en el presente ejercicio estamos en una transformación en cuanto a la clasificación tanto contable como en la relación de activos de acuerdo con las obligaciones que nos marca la normatividad correspondiente emitida por la CONAC.</w:t>
      </w:r>
    </w:p>
    <w:p w14:paraId="23376542" w14:textId="77777777" w:rsidR="005E231E" w:rsidRPr="00E74967" w:rsidRDefault="005E231E" w:rsidP="00CB41C4">
      <w:pPr>
        <w:tabs>
          <w:tab w:val="left" w:leader="underscore" w:pos="9639"/>
        </w:tabs>
        <w:spacing w:after="0" w:line="240" w:lineRule="auto"/>
        <w:jc w:val="both"/>
        <w:rPr>
          <w:rFonts w:cs="Calibri"/>
        </w:rPr>
      </w:pPr>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2F075955" w14:textId="5E5B8B0D" w:rsidR="007D1E76" w:rsidRPr="00E74967" w:rsidRDefault="00485B73" w:rsidP="00CB41C4">
      <w:pPr>
        <w:tabs>
          <w:tab w:val="left" w:leader="underscore" w:pos="9639"/>
        </w:tabs>
        <w:spacing w:after="0" w:line="240" w:lineRule="auto"/>
        <w:jc w:val="both"/>
        <w:rPr>
          <w:rFonts w:cs="Calibri"/>
        </w:rPr>
      </w:pPr>
      <w:r w:rsidRPr="00485B73">
        <w:rPr>
          <w:rFonts w:cs="Calibri"/>
        </w:rPr>
        <w:t>A la fecha no se tienen inversiones en valores.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6ED86A66" w14:textId="55FA14D9" w:rsidR="007D1E76" w:rsidRPr="00E74967" w:rsidRDefault="00485B73" w:rsidP="00CB41C4">
      <w:pPr>
        <w:tabs>
          <w:tab w:val="left" w:leader="underscore" w:pos="9639"/>
        </w:tabs>
        <w:spacing w:after="0" w:line="240" w:lineRule="auto"/>
        <w:jc w:val="both"/>
        <w:rPr>
          <w:rFonts w:cs="Calibri"/>
        </w:rPr>
      </w:pPr>
      <w:r w:rsidRPr="00485B73">
        <w:rPr>
          <w:rFonts w:cs="Calibri"/>
        </w:rPr>
        <w:t>El ente público no tiene patrimonio en organismos descentralizados ni control indirecto del presupuesto de este.</w:t>
      </w:r>
    </w:p>
    <w:p w14:paraId="7F76C39C" w14:textId="77777777" w:rsidR="007D1E76" w:rsidRPr="00E74967" w:rsidRDefault="007D1E76" w:rsidP="00CB41C4">
      <w:pPr>
        <w:tabs>
          <w:tab w:val="left" w:leader="underscore" w:pos="9639"/>
        </w:tabs>
        <w:spacing w:after="0" w:line="240" w:lineRule="auto"/>
        <w:jc w:val="both"/>
        <w:rPr>
          <w:rFonts w:cs="Calibri"/>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1E5C8CCB" w14:textId="0E6A7005" w:rsidR="007D1E76" w:rsidRPr="00E74967" w:rsidRDefault="00485B73" w:rsidP="00CB41C4">
      <w:pPr>
        <w:tabs>
          <w:tab w:val="left" w:leader="underscore" w:pos="9639"/>
        </w:tabs>
        <w:spacing w:after="0" w:line="240" w:lineRule="auto"/>
        <w:jc w:val="both"/>
        <w:rPr>
          <w:rFonts w:cs="Calibri"/>
        </w:rPr>
      </w:pPr>
      <w:r w:rsidRPr="00485B73">
        <w:rPr>
          <w:rFonts w:cs="Calibri"/>
        </w:rPr>
        <w:t>A la fecha no se tienen inversiones en empresas de participación mayoritaria.</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35A51839" w14:textId="2DE4E396" w:rsidR="007D1E76" w:rsidRPr="00E74967" w:rsidRDefault="00485B73" w:rsidP="00CB41C4">
      <w:pPr>
        <w:tabs>
          <w:tab w:val="left" w:leader="underscore" w:pos="9639"/>
        </w:tabs>
        <w:spacing w:after="0" w:line="240" w:lineRule="auto"/>
        <w:jc w:val="both"/>
        <w:rPr>
          <w:rFonts w:cs="Calibri"/>
        </w:rPr>
      </w:pPr>
      <w:r w:rsidRPr="00485B73">
        <w:rPr>
          <w:rFonts w:cs="Calibri"/>
        </w:rPr>
        <w:t>A la fecha no se tienen inversiones en empresas de participación minoritaria.</w:t>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FC59EEE" w14:textId="0359A7BA" w:rsidR="007D1E76" w:rsidRPr="00E74967" w:rsidRDefault="00485B73" w:rsidP="00CB41C4">
      <w:pPr>
        <w:tabs>
          <w:tab w:val="left" w:leader="underscore" w:pos="9639"/>
        </w:tabs>
        <w:spacing w:after="0" w:line="240" w:lineRule="auto"/>
        <w:jc w:val="both"/>
        <w:rPr>
          <w:rFonts w:cs="Calibri"/>
        </w:rPr>
      </w:pPr>
      <w:r w:rsidRPr="00485B73">
        <w:rPr>
          <w:rFonts w:cs="Calibri"/>
        </w:rPr>
        <w:t>El ente público no tiene patrimonio en organismos descentralizados ni control indirecto del presupuesto de este.</w:t>
      </w:r>
    </w:p>
    <w:p w14:paraId="56C3B8CD" w14:textId="6D72464B" w:rsidR="007D1E76" w:rsidRPr="00E74967" w:rsidRDefault="007D1E76" w:rsidP="00CB41C4">
      <w:pPr>
        <w:tabs>
          <w:tab w:val="left" w:leader="underscore" w:pos="9639"/>
        </w:tabs>
        <w:spacing w:after="0" w:line="240" w:lineRule="auto"/>
        <w:jc w:val="both"/>
        <w:rPr>
          <w:rFonts w:cs="Calibri"/>
        </w:rPr>
      </w:pPr>
    </w:p>
    <w:p w14:paraId="5B412C86" w14:textId="3C695988" w:rsidR="007D1E76" w:rsidRPr="008E78F8" w:rsidRDefault="002722DD" w:rsidP="008E78F8">
      <w:pPr>
        <w:pStyle w:val="Ttulo2"/>
        <w:rPr>
          <w:rFonts w:asciiTheme="minorHAnsi" w:hAnsiTheme="minorHAnsi" w:cstheme="minorHAnsi"/>
          <w:b/>
          <w:color w:val="auto"/>
          <w:sz w:val="22"/>
        </w:rPr>
      </w:pPr>
      <w:bookmarkStart w:id="8" w:name="_Toc161472873"/>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8"/>
    </w:p>
    <w:p w14:paraId="708E87EF" w14:textId="1FCAC474"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0CFB4EF3" w14:textId="1DF59E31" w:rsidR="007D1E76" w:rsidRPr="00E74967" w:rsidRDefault="00485B73" w:rsidP="00CB41C4">
      <w:pPr>
        <w:tabs>
          <w:tab w:val="left" w:leader="underscore" w:pos="9639"/>
        </w:tabs>
        <w:spacing w:after="0" w:line="240" w:lineRule="auto"/>
        <w:jc w:val="both"/>
        <w:rPr>
          <w:rFonts w:cs="Calibri"/>
        </w:rPr>
      </w:pPr>
      <w:r w:rsidRPr="00485B73">
        <w:rPr>
          <w:rFonts w:cs="Calibri"/>
        </w:rPr>
        <w:t>Al cierre de este trimestre no se lleva a cabo por fideicomisos.</w:t>
      </w:r>
    </w:p>
    <w:p w14:paraId="2010752E" w14:textId="77777777" w:rsidR="007D1E76" w:rsidRPr="00E74967" w:rsidRDefault="007D1E76" w:rsidP="00CB41C4">
      <w:pPr>
        <w:tabs>
          <w:tab w:val="left" w:leader="underscore" w:pos="9639"/>
        </w:tabs>
        <w:spacing w:after="0" w:line="240" w:lineRule="auto"/>
        <w:jc w:val="both"/>
        <w:rPr>
          <w:rFonts w:cs="Calibri"/>
        </w:rPr>
      </w:pP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5AE57259" w14:textId="7DBEFE04" w:rsidR="007D1E76" w:rsidRPr="00E74967" w:rsidRDefault="00485B73" w:rsidP="00CB41C4">
      <w:pPr>
        <w:tabs>
          <w:tab w:val="left" w:leader="underscore" w:pos="9639"/>
        </w:tabs>
        <w:spacing w:after="0" w:line="240" w:lineRule="auto"/>
        <w:jc w:val="both"/>
        <w:rPr>
          <w:rFonts w:cs="Calibri"/>
        </w:rPr>
      </w:pPr>
      <w:r w:rsidRPr="00485B73">
        <w:rPr>
          <w:rFonts w:cs="Calibri"/>
        </w:rPr>
        <w:t>Al cierre de este trimestre no se lleva a cabo por fideicomisos.</w:t>
      </w:r>
    </w:p>
    <w:p w14:paraId="2F60B1C6" w14:textId="47BAD216" w:rsidR="007D1E76" w:rsidRPr="000C3365" w:rsidRDefault="002722DD" w:rsidP="000C3365">
      <w:pPr>
        <w:pStyle w:val="Ttulo2"/>
        <w:rPr>
          <w:rFonts w:asciiTheme="minorHAnsi" w:hAnsiTheme="minorHAnsi" w:cstheme="minorHAnsi"/>
          <w:b/>
          <w:color w:val="auto"/>
          <w:sz w:val="22"/>
        </w:rPr>
      </w:pPr>
      <w:bookmarkStart w:id="9" w:name="_Toc161472874"/>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9"/>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6CAD4E54" w14:textId="7B3C7AC2" w:rsidR="007D1E76" w:rsidRPr="00E74967" w:rsidRDefault="00485B73" w:rsidP="00CB41C4">
      <w:pPr>
        <w:tabs>
          <w:tab w:val="left" w:leader="underscore" w:pos="9639"/>
        </w:tabs>
        <w:spacing w:after="0" w:line="240" w:lineRule="auto"/>
        <w:jc w:val="both"/>
        <w:rPr>
          <w:rFonts w:cs="Calibri"/>
        </w:rPr>
      </w:pPr>
      <w:r w:rsidRPr="00485B73">
        <w:rPr>
          <w:rFonts w:cs="Calibri"/>
        </w:rPr>
        <w:lastRenderedPageBreak/>
        <w:t>El análisis del comportamiento de la recaudación se desglosa en el Estado Analítico de Ingresos y en el Estado Analítico de Ingresos Detallado – LDF.</w:t>
      </w:r>
    </w:p>
    <w:p w14:paraId="4FA2E1ED" w14:textId="77777777" w:rsidR="007D1E76" w:rsidRPr="00E74967" w:rsidRDefault="007D1E76" w:rsidP="00CB41C4">
      <w:pPr>
        <w:tabs>
          <w:tab w:val="left" w:leader="underscore" w:pos="9639"/>
        </w:tabs>
        <w:spacing w:after="0" w:line="240" w:lineRule="auto"/>
        <w:jc w:val="both"/>
        <w:rPr>
          <w:rFonts w:cs="Calibri"/>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7C4CE7E2" w14:textId="357BB65A" w:rsidR="007D1E76" w:rsidRDefault="00485B73" w:rsidP="00CB41C4">
      <w:pPr>
        <w:tabs>
          <w:tab w:val="left" w:leader="underscore" w:pos="9639"/>
        </w:tabs>
        <w:spacing w:after="0" w:line="240" w:lineRule="auto"/>
        <w:jc w:val="both"/>
        <w:rPr>
          <w:rFonts w:cs="Calibri"/>
        </w:rPr>
      </w:pPr>
      <w:r w:rsidRPr="00485B73">
        <w:rPr>
          <w:rFonts w:cs="Calibri"/>
        </w:rPr>
        <w:t>El pronóstico de ingresos para el ejercicio fiscal 2026 se presenta dentro de la Ley de Ingresos del Ejercicio fiscal 2026.</w:t>
      </w:r>
    </w:p>
    <w:p w14:paraId="26FDB1A9" w14:textId="77777777" w:rsidR="00231FBE" w:rsidRPr="00E74967" w:rsidRDefault="00231FBE" w:rsidP="00CB41C4">
      <w:pPr>
        <w:tabs>
          <w:tab w:val="left" w:leader="underscore" w:pos="9639"/>
        </w:tabs>
        <w:spacing w:after="0" w:line="240" w:lineRule="auto"/>
        <w:jc w:val="both"/>
        <w:rPr>
          <w:rFonts w:cs="Calibri"/>
        </w:rPr>
      </w:pPr>
    </w:p>
    <w:p w14:paraId="27337031" w14:textId="725D7AB7" w:rsidR="007D1E76" w:rsidRPr="008E78F8" w:rsidRDefault="007D1E76" w:rsidP="008E78F8">
      <w:pPr>
        <w:pStyle w:val="Ttulo2"/>
        <w:rPr>
          <w:rFonts w:asciiTheme="minorHAnsi" w:hAnsiTheme="minorHAnsi" w:cstheme="minorHAnsi"/>
          <w:b/>
          <w:color w:val="auto"/>
          <w:sz w:val="22"/>
        </w:rPr>
      </w:pPr>
      <w:bookmarkStart w:id="10" w:name="_Toc161472875"/>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10"/>
    </w:p>
    <w:p w14:paraId="7B63D2E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27F520A1" w14:textId="77777777" w:rsidR="001B6798" w:rsidRPr="00E74967" w:rsidRDefault="001B6798" w:rsidP="001B6798">
      <w:pPr>
        <w:tabs>
          <w:tab w:val="left" w:leader="underscore" w:pos="9639"/>
        </w:tabs>
        <w:spacing w:after="0" w:line="240" w:lineRule="auto"/>
        <w:jc w:val="both"/>
        <w:rPr>
          <w:rFonts w:cs="Calibri"/>
        </w:rPr>
      </w:pPr>
      <w:r w:rsidRPr="009D2E17">
        <w:rPr>
          <w:rFonts w:cs="Calibri"/>
        </w:rPr>
        <w:t xml:space="preserve">La información respecto a la deuda y reporte analítico de la deuda se presentan en el documento notas de LDF, así como, en el Informe Analítico de la Deuda Pública y Otros Pasivos </w:t>
      </w:r>
      <w:r>
        <w:rPr>
          <w:rFonts w:cs="Calibri"/>
        </w:rPr>
        <w:t>–</w:t>
      </w:r>
      <w:r w:rsidRPr="009D2E17">
        <w:rPr>
          <w:rFonts w:cs="Calibri"/>
        </w:rPr>
        <w:t xml:space="preserve"> LDF</w:t>
      </w:r>
    </w:p>
    <w:p w14:paraId="3F9DDBBA" w14:textId="77777777" w:rsidR="007D1E76" w:rsidRPr="00E74967" w:rsidRDefault="007D1E76"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47A92FC9" w14:textId="02BCFA34"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409B1D78" w14:textId="77777777" w:rsidR="007D1E76" w:rsidRPr="00E74967" w:rsidRDefault="007D1E76" w:rsidP="00CB41C4">
      <w:pPr>
        <w:tabs>
          <w:tab w:val="left" w:leader="underscore" w:pos="9639"/>
        </w:tabs>
        <w:spacing w:after="0" w:line="240" w:lineRule="auto"/>
        <w:jc w:val="both"/>
        <w:rPr>
          <w:rFonts w:cs="Calibri"/>
        </w:rPr>
      </w:pPr>
    </w:p>
    <w:p w14:paraId="67197CE9" w14:textId="00265F90" w:rsidR="007D1E76" w:rsidRPr="008E78F8" w:rsidRDefault="007D1E76" w:rsidP="008E78F8">
      <w:pPr>
        <w:pStyle w:val="Ttulo2"/>
        <w:rPr>
          <w:rFonts w:asciiTheme="minorHAnsi" w:hAnsiTheme="minorHAnsi" w:cstheme="minorHAnsi"/>
          <w:b/>
          <w:color w:val="auto"/>
          <w:sz w:val="22"/>
        </w:rPr>
      </w:pPr>
      <w:bookmarkStart w:id="11" w:name="_Toc161472876"/>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1"/>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6B02EAB0" w14:textId="56F4C237" w:rsidR="007D1E76" w:rsidRPr="00E74967" w:rsidRDefault="001B6798" w:rsidP="00CB41C4">
      <w:pPr>
        <w:tabs>
          <w:tab w:val="left" w:leader="underscore" w:pos="9639"/>
        </w:tabs>
        <w:spacing w:after="0" w:line="240" w:lineRule="auto"/>
        <w:jc w:val="both"/>
        <w:rPr>
          <w:rFonts w:cs="Calibri"/>
        </w:rPr>
      </w:pPr>
      <w:r w:rsidRPr="00D70A24">
        <w:rPr>
          <w:rFonts w:cs="Calibri"/>
        </w:rPr>
        <w:t>El ente público no ha sido sujeto a una calificación crediticia.</w:t>
      </w:r>
    </w:p>
    <w:p w14:paraId="69F25506" w14:textId="77777777" w:rsidR="007D1E76" w:rsidRPr="00E74967" w:rsidRDefault="007D1E76" w:rsidP="00CB41C4">
      <w:pPr>
        <w:tabs>
          <w:tab w:val="left" w:leader="underscore" w:pos="9639"/>
        </w:tabs>
        <w:spacing w:after="0" w:line="240" w:lineRule="auto"/>
        <w:jc w:val="both"/>
        <w:rPr>
          <w:rFonts w:cs="Calibri"/>
        </w:rPr>
      </w:pPr>
    </w:p>
    <w:p w14:paraId="0251CC47" w14:textId="11A0C425" w:rsidR="007D1E76" w:rsidRPr="008E78F8" w:rsidRDefault="007D1E76" w:rsidP="008E78F8">
      <w:pPr>
        <w:pStyle w:val="Ttulo2"/>
        <w:rPr>
          <w:rFonts w:asciiTheme="minorHAnsi" w:hAnsiTheme="minorHAnsi" w:cstheme="minorHAnsi"/>
          <w:b/>
          <w:color w:val="auto"/>
          <w:sz w:val="22"/>
        </w:rPr>
      </w:pPr>
      <w:bookmarkStart w:id="12" w:name="_Toc161472877"/>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2"/>
    </w:p>
    <w:p w14:paraId="533FB084" w14:textId="08F012E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0132FB08" w14:textId="0BA89EE4" w:rsidR="007D1E76" w:rsidRPr="00E74967" w:rsidRDefault="001B6798" w:rsidP="00CB41C4">
      <w:pPr>
        <w:tabs>
          <w:tab w:val="left" w:leader="underscore" w:pos="9639"/>
        </w:tabs>
        <w:spacing w:after="0" w:line="240" w:lineRule="auto"/>
        <w:jc w:val="both"/>
        <w:rPr>
          <w:rFonts w:cs="Calibri"/>
        </w:rPr>
      </w:pPr>
      <w:r w:rsidRPr="00ED521A">
        <w:rPr>
          <w:rFonts w:cs="Calibri"/>
        </w:rPr>
        <w:t>Las principales políticas de control interno que se implementan en específico en este ente público son de acuerdo con nuestros Lineamientos generales de racionalidad, austeridad y disciplina presupuestal vigentes y Manuales de Procesos vigentes.</w:t>
      </w: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6DD757EA" w14:textId="763A2018" w:rsidR="007D1E76" w:rsidRPr="00E74967" w:rsidRDefault="001B6798" w:rsidP="00CB41C4">
      <w:pPr>
        <w:tabs>
          <w:tab w:val="left" w:leader="underscore" w:pos="9639"/>
        </w:tabs>
        <w:spacing w:after="0" w:line="240" w:lineRule="auto"/>
        <w:jc w:val="both"/>
        <w:rPr>
          <w:rFonts w:cs="Calibri"/>
        </w:rPr>
      </w:pPr>
      <w:r w:rsidRPr="00ED521A">
        <w:rPr>
          <w:rFonts w:cs="Calibri"/>
        </w:rPr>
        <w:t>El presupuesto programático autorizado por el H. Ayuntamiento es el que nos sirve para establecer las metas e indicadores que se tienen en el ente público para su medición.</w:t>
      </w:r>
    </w:p>
    <w:p w14:paraId="795495BA" w14:textId="77777777" w:rsidR="007D1E76" w:rsidRPr="00E74967" w:rsidRDefault="007D1E76" w:rsidP="00CB41C4">
      <w:pPr>
        <w:tabs>
          <w:tab w:val="left" w:leader="underscore" w:pos="9639"/>
        </w:tabs>
        <w:spacing w:after="0" w:line="240" w:lineRule="auto"/>
        <w:jc w:val="both"/>
        <w:rPr>
          <w:rFonts w:cs="Calibri"/>
        </w:rPr>
      </w:pPr>
    </w:p>
    <w:p w14:paraId="6C3C6A04" w14:textId="43C3D691" w:rsidR="007D1E76" w:rsidRPr="008E78F8" w:rsidRDefault="007D1E76" w:rsidP="008E78F8">
      <w:pPr>
        <w:pStyle w:val="Ttulo2"/>
        <w:rPr>
          <w:rFonts w:asciiTheme="minorHAnsi" w:hAnsiTheme="minorHAnsi" w:cstheme="minorHAnsi"/>
          <w:b/>
          <w:color w:val="auto"/>
          <w:sz w:val="22"/>
        </w:rPr>
      </w:pPr>
      <w:bookmarkStart w:id="13" w:name="_Toc161472878"/>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3"/>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4054793D" w14:textId="77777777" w:rsidR="007D1E76" w:rsidRPr="00E74967" w:rsidRDefault="007D1E76" w:rsidP="00CB41C4">
      <w:pPr>
        <w:tabs>
          <w:tab w:val="left" w:leader="underscore" w:pos="9639"/>
        </w:tabs>
        <w:spacing w:after="0" w:line="240" w:lineRule="auto"/>
        <w:jc w:val="both"/>
        <w:rPr>
          <w:rFonts w:cs="Calibri"/>
        </w:rPr>
      </w:pPr>
    </w:p>
    <w:p w14:paraId="6B35B9DB" w14:textId="77777777" w:rsidR="001B6798" w:rsidRPr="00E74967" w:rsidRDefault="001B6798" w:rsidP="001B6798">
      <w:pPr>
        <w:tabs>
          <w:tab w:val="left" w:leader="underscore" w:pos="9639"/>
        </w:tabs>
        <w:spacing w:after="0" w:line="240" w:lineRule="auto"/>
        <w:jc w:val="both"/>
        <w:rPr>
          <w:rFonts w:cs="Calibri"/>
        </w:rPr>
      </w:pPr>
      <w:r w:rsidRPr="009D2E17">
        <w:rPr>
          <w:rFonts w:cs="Calibri"/>
        </w:rPr>
        <w:t xml:space="preserve">De acuerdo con que este ente público maneja sus operaciones en base al Presupuesto de Egresos y Estimación de Ingresos para el ejercicio actual y se Emite el Estado del Ejercicio del Presupuesto de Egresos en su </w:t>
      </w:r>
      <w:r w:rsidRPr="009D2E17">
        <w:rPr>
          <w:rFonts w:cs="Calibri"/>
        </w:rPr>
        <w:lastRenderedPageBreak/>
        <w:t>Clasificación Administrativa, no se cree necesario emitir una información financiera por segmentos ya que se duplicaría la emisión de información.</w:t>
      </w:r>
    </w:p>
    <w:p w14:paraId="03BBF660" w14:textId="77777777" w:rsidR="007D1E76" w:rsidRPr="00E74967" w:rsidRDefault="007D1E76" w:rsidP="00CB41C4">
      <w:pPr>
        <w:tabs>
          <w:tab w:val="left" w:leader="underscore" w:pos="9639"/>
        </w:tabs>
        <w:spacing w:after="0" w:line="240" w:lineRule="auto"/>
        <w:jc w:val="both"/>
        <w:rPr>
          <w:rFonts w:cs="Calibri"/>
        </w:rPr>
      </w:pPr>
    </w:p>
    <w:p w14:paraId="362DF4F4" w14:textId="3439539C" w:rsidR="007D1E76" w:rsidRPr="008E78F8" w:rsidRDefault="007D1E76" w:rsidP="008E78F8">
      <w:pPr>
        <w:pStyle w:val="Ttulo2"/>
        <w:rPr>
          <w:rFonts w:asciiTheme="minorHAnsi" w:hAnsiTheme="minorHAnsi" w:cstheme="minorHAnsi"/>
          <w:b/>
          <w:color w:val="auto"/>
          <w:sz w:val="22"/>
        </w:rPr>
      </w:pPr>
      <w:bookmarkStart w:id="14" w:name="_Toc161472879"/>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4"/>
    </w:p>
    <w:p w14:paraId="55D08D4D" w14:textId="74D8F023" w:rsidR="007D1E76" w:rsidRPr="00E74967" w:rsidRDefault="007D1E76" w:rsidP="00CB41C4">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1B6798" w:rsidRPr="001B6798">
        <w:rPr>
          <w:rFonts w:cs="Calibri"/>
        </w:rPr>
        <w:t xml:space="preserve"> </w:t>
      </w:r>
      <w:r w:rsidR="001B6798">
        <w:rPr>
          <w:rFonts w:cs="Calibri"/>
        </w:rPr>
        <w:t>No hay información que revelar.</w:t>
      </w:r>
    </w:p>
    <w:p w14:paraId="20438A33" w14:textId="708BE9D0" w:rsidR="007D1E76" w:rsidRPr="008E78F8" w:rsidRDefault="005E231E" w:rsidP="008E78F8">
      <w:pPr>
        <w:pStyle w:val="Ttulo2"/>
        <w:rPr>
          <w:rFonts w:asciiTheme="minorHAnsi" w:hAnsiTheme="minorHAnsi" w:cstheme="minorHAnsi"/>
          <w:b/>
          <w:color w:val="auto"/>
          <w:sz w:val="22"/>
        </w:rPr>
      </w:pPr>
      <w:bookmarkStart w:id="15" w:name="_Toc161472880"/>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5"/>
    </w:p>
    <w:p w14:paraId="17CEED12" w14:textId="6E7D2AE5"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78699B1C" w14:textId="77777777" w:rsidR="007D1E76" w:rsidRPr="00E74967" w:rsidRDefault="007D1E76" w:rsidP="00CB41C4">
      <w:pPr>
        <w:tabs>
          <w:tab w:val="left" w:leader="underscore" w:pos="9639"/>
        </w:tabs>
        <w:spacing w:after="0" w:line="240" w:lineRule="auto"/>
        <w:jc w:val="both"/>
        <w:rPr>
          <w:rFonts w:cs="Calibri"/>
        </w:rPr>
      </w:pPr>
    </w:p>
    <w:p w14:paraId="24905817" w14:textId="339246C6" w:rsidR="007D1E76" w:rsidRPr="008E78F8" w:rsidRDefault="007D1E76" w:rsidP="008E78F8">
      <w:pPr>
        <w:pStyle w:val="Ttulo2"/>
        <w:rPr>
          <w:rFonts w:asciiTheme="minorHAnsi" w:hAnsiTheme="minorHAnsi" w:cstheme="minorHAnsi"/>
          <w:b/>
          <w:color w:val="auto"/>
          <w:sz w:val="22"/>
        </w:rPr>
      </w:pPr>
      <w:bookmarkStart w:id="16" w:name="_Toc161472881"/>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6"/>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La Información Contable deberá estar firmada en cada página de la misma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251AB0E9"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06-12-2022</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3"/>
      <w:footerReference w:type="default" r:id="rId14"/>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E3FAE0" w14:textId="77777777" w:rsidR="0054735B" w:rsidRDefault="0054735B" w:rsidP="00E00323">
      <w:pPr>
        <w:spacing w:after="0" w:line="240" w:lineRule="auto"/>
      </w:pPr>
      <w:r>
        <w:separator/>
      </w:r>
    </w:p>
  </w:endnote>
  <w:endnote w:type="continuationSeparator" w:id="0">
    <w:p w14:paraId="05B300AD" w14:textId="77777777" w:rsidR="0054735B" w:rsidRDefault="0054735B"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4267310"/>
      <w:docPartObj>
        <w:docPartGallery w:val="Page Numbers (Bottom of Page)"/>
        <w:docPartUnique/>
      </w:docPartObj>
    </w:sdtPr>
    <w:sdtEndPr/>
    <w:sdtContent>
      <w:p w14:paraId="45A1378E" w14:textId="5221587C" w:rsidR="0012405A" w:rsidRDefault="0012405A">
        <w:pPr>
          <w:pStyle w:val="Piedepgina"/>
          <w:jc w:val="right"/>
        </w:pPr>
        <w:r>
          <w:fldChar w:fldCharType="begin"/>
        </w:r>
        <w:r>
          <w:instrText>PAGE   \* MERGEFORMAT</w:instrText>
        </w:r>
        <w:r>
          <w:fldChar w:fldCharType="separate"/>
        </w:r>
        <w:r w:rsidR="008E78F8" w:rsidRPr="008E78F8">
          <w:rPr>
            <w:noProof/>
            <w:lang w:val="es-ES"/>
          </w:rPr>
          <w:t>10</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3F7D9E" w14:textId="77777777" w:rsidR="0054735B" w:rsidRDefault="0054735B" w:rsidP="00E00323">
      <w:pPr>
        <w:spacing w:after="0" w:line="240" w:lineRule="auto"/>
      </w:pPr>
      <w:r>
        <w:separator/>
      </w:r>
    </w:p>
  </w:footnote>
  <w:footnote w:type="continuationSeparator" w:id="0">
    <w:p w14:paraId="0ADD61F5" w14:textId="77777777" w:rsidR="0054735B" w:rsidRDefault="0054735B"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5C548F" w14:textId="24860906" w:rsidR="00154BA3" w:rsidRDefault="005D223C" w:rsidP="00A4610E">
    <w:pPr>
      <w:pStyle w:val="Encabezado"/>
      <w:spacing w:after="0" w:line="240" w:lineRule="auto"/>
      <w:jc w:val="center"/>
    </w:pPr>
    <w:r>
      <w:t>Municipio de Yuriria</w:t>
    </w:r>
  </w:p>
  <w:p w14:paraId="651A4C4F" w14:textId="4CF128DB" w:rsidR="00A4610E" w:rsidRDefault="00A4610E" w:rsidP="00A4610E">
    <w:pPr>
      <w:pStyle w:val="Encabezado"/>
      <w:spacing w:after="0" w:line="240" w:lineRule="auto"/>
      <w:jc w:val="center"/>
    </w:pPr>
    <w:r w:rsidRPr="00A4610E">
      <w:t>C</w:t>
    </w:r>
    <w:r w:rsidR="005D223C">
      <w:t>orrespondientes al 30 de septiembre de 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E76"/>
    <w:rsid w:val="000310EF"/>
    <w:rsid w:val="00040D4F"/>
    <w:rsid w:val="00084EAE"/>
    <w:rsid w:val="00091CE6"/>
    <w:rsid w:val="000B7810"/>
    <w:rsid w:val="000C3365"/>
    <w:rsid w:val="000C36B6"/>
    <w:rsid w:val="00106EE9"/>
    <w:rsid w:val="0012405A"/>
    <w:rsid w:val="0012493A"/>
    <w:rsid w:val="00154BA3"/>
    <w:rsid w:val="001973A2"/>
    <w:rsid w:val="001B6798"/>
    <w:rsid w:val="001C34BC"/>
    <w:rsid w:val="001C710C"/>
    <w:rsid w:val="001C75F2"/>
    <w:rsid w:val="001D2063"/>
    <w:rsid w:val="001D43E9"/>
    <w:rsid w:val="00231FBE"/>
    <w:rsid w:val="00232175"/>
    <w:rsid w:val="00233B4A"/>
    <w:rsid w:val="0024740E"/>
    <w:rsid w:val="002722DD"/>
    <w:rsid w:val="00295B72"/>
    <w:rsid w:val="002E78D7"/>
    <w:rsid w:val="003453CA"/>
    <w:rsid w:val="00396D53"/>
    <w:rsid w:val="003E6C64"/>
    <w:rsid w:val="0043078C"/>
    <w:rsid w:val="00435A87"/>
    <w:rsid w:val="00485B73"/>
    <w:rsid w:val="004A1077"/>
    <w:rsid w:val="004A58C8"/>
    <w:rsid w:val="004F234D"/>
    <w:rsid w:val="004F6FAC"/>
    <w:rsid w:val="005053EE"/>
    <w:rsid w:val="00516100"/>
    <w:rsid w:val="00516A8F"/>
    <w:rsid w:val="00540261"/>
    <w:rsid w:val="0054701E"/>
    <w:rsid w:val="0054735B"/>
    <w:rsid w:val="005B5531"/>
    <w:rsid w:val="005D223C"/>
    <w:rsid w:val="005D3E43"/>
    <w:rsid w:val="005E231E"/>
    <w:rsid w:val="005F2900"/>
    <w:rsid w:val="005F51CC"/>
    <w:rsid w:val="0064059E"/>
    <w:rsid w:val="00657009"/>
    <w:rsid w:val="00681C79"/>
    <w:rsid w:val="006B1ADF"/>
    <w:rsid w:val="006F0687"/>
    <w:rsid w:val="006F77A8"/>
    <w:rsid w:val="007610BC"/>
    <w:rsid w:val="007714AB"/>
    <w:rsid w:val="007D1E76"/>
    <w:rsid w:val="007D4484"/>
    <w:rsid w:val="007E38A2"/>
    <w:rsid w:val="007F699D"/>
    <w:rsid w:val="00806269"/>
    <w:rsid w:val="0086420E"/>
    <w:rsid w:val="0086459F"/>
    <w:rsid w:val="008C3BB8"/>
    <w:rsid w:val="008E076C"/>
    <w:rsid w:val="008E78F8"/>
    <w:rsid w:val="0092765C"/>
    <w:rsid w:val="00967DDA"/>
    <w:rsid w:val="009736CB"/>
    <w:rsid w:val="00A4610E"/>
    <w:rsid w:val="00A6346D"/>
    <w:rsid w:val="00A730E0"/>
    <w:rsid w:val="00AA2768"/>
    <w:rsid w:val="00AA41E5"/>
    <w:rsid w:val="00AB722B"/>
    <w:rsid w:val="00AE1F6A"/>
    <w:rsid w:val="00AF4375"/>
    <w:rsid w:val="00B073DE"/>
    <w:rsid w:val="00B6368B"/>
    <w:rsid w:val="00BA53FE"/>
    <w:rsid w:val="00BE02EB"/>
    <w:rsid w:val="00C4250B"/>
    <w:rsid w:val="00C4625D"/>
    <w:rsid w:val="00C54C12"/>
    <w:rsid w:val="00C93C67"/>
    <w:rsid w:val="00C97E1E"/>
    <w:rsid w:val="00CB41C4"/>
    <w:rsid w:val="00CF1316"/>
    <w:rsid w:val="00D13C44"/>
    <w:rsid w:val="00D32331"/>
    <w:rsid w:val="00D40FC2"/>
    <w:rsid w:val="00D5018E"/>
    <w:rsid w:val="00D546B2"/>
    <w:rsid w:val="00D55973"/>
    <w:rsid w:val="00D975B1"/>
    <w:rsid w:val="00DD018C"/>
    <w:rsid w:val="00E00323"/>
    <w:rsid w:val="00E11758"/>
    <w:rsid w:val="00E74967"/>
    <w:rsid w:val="00E7559F"/>
    <w:rsid w:val="00E85520"/>
    <w:rsid w:val="00E9132F"/>
    <w:rsid w:val="00EA37F5"/>
    <w:rsid w:val="00EA7915"/>
    <w:rsid w:val="00ED7AA0"/>
    <w:rsid w:val="00F067C8"/>
    <w:rsid w:val="00F43AC5"/>
    <w:rsid w:val="00F46719"/>
    <w:rsid w:val="00F54F6F"/>
    <w:rsid w:val="00F6102D"/>
    <w:rsid w:val="00F65A92"/>
    <w:rsid w:val="00F6759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902fa953642e2d388fe769f67fb2c923">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6288d15843193ee409a0745f8248e6aa"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86539F-28B7-4806-A569-77875C78EF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F796D14F-B5E4-4C9E-8FE4-D25E643A6F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218</TotalTime>
  <Pages>10</Pages>
  <Words>3644</Words>
  <Characters>20045</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23642</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Nomina</cp:lastModifiedBy>
  <cp:revision>74</cp:revision>
  <dcterms:created xsi:type="dcterms:W3CDTF">2017-01-12T05:27:00Z</dcterms:created>
  <dcterms:modified xsi:type="dcterms:W3CDTF">2026-10-15T03:01:00Z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